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版本号：SXHC2026-05620260417001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西安市市建水情监测站点防汛特征值及洪水预警指标复核项目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SXHC2026-056</w:t>
      </w:r>
      <w:r>
        <w:br/>
      </w:r>
      <w:r>
        <w:br/>
      </w:r>
      <w:r>
        <w:br/>
      </w:r>
    </w:p>
    <w:p>
      <w:pPr>
        <w:pStyle w:val="null3"/>
        <w:jc w:val="center"/>
        <w:outlineLvl w:val="2"/>
      </w:pPr>
      <w:r>
        <w:rPr>
          <w:rFonts w:ascii="仿宋_GB2312" w:hAnsi="仿宋_GB2312" w:cs="仿宋_GB2312" w:eastAsia="仿宋_GB2312"/>
          <w:sz w:val="28"/>
          <w:b/>
        </w:rPr>
        <w:t>西安市水旱灾害防御管理中心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西安市水旱灾害防御管理中心</w:t>
      </w:r>
      <w:r>
        <w:rPr>
          <w:rFonts w:ascii="仿宋_GB2312" w:hAnsi="仿宋_GB2312" w:cs="仿宋_GB2312" w:eastAsia="仿宋_GB2312"/>
        </w:rPr>
        <w:t>委托，拟对</w:t>
      </w:r>
      <w:r>
        <w:rPr>
          <w:rFonts w:ascii="仿宋_GB2312" w:hAnsi="仿宋_GB2312" w:cs="仿宋_GB2312" w:eastAsia="仿宋_GB2312"/>
        </w:rPr>
        <w:t>西安市市建水情监测站点防汛特征值及洪水预警指标复核项目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西安市市建水情监测站点防汛特征值及洪水预警指标复核项目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本项目拟对32处水情监测站点的防汛特征值及洪水预警指标进行全面、系统、科学的复核，适应河道现状和防洪实际，为防汛决策提供科学依据。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采购包1（西安市市建水情监测站点防汛特征值及洪水预警指标复核项目）：属于专门面向中小企业采购。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6、信誉要求：投标人未被列入“失信被执行人”、“重大税收违法失信主体”和“政府采购严重违法失信行为记录名单”。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西安市水旱灾害防御管理中心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采购包1：2,721,900.00元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代理服务费收费标准：（1）代理服务费收费标准：按定额收取，为人民币贰万捌仟伍佰元整（￥28500.00）。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西安市水旱灾害防御管理中心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西安市水旱灾害防御管理中心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西安市水旱灾害防御管理中心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本项目拟对32处水情监测站点的防汛特征值及洪水预警指标进行全面、系统、科学的复核，适应河道现状和防洪实际，为防汛决策提供科学依据。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2,721,900.00</w:t>
      </w:r>
    </w:p>
    <w:p>
      <w:pPr>
        <w:pStyle w:val="null3"/>
      </w:pPr>
      <w:r>
        <w:rPr>
          <w:rFonts w:ascii="仿宋_GB2312" w:hAnsi="仿宋_GB2312" w:cs="仿宋_GB2312" w:eastAsia="仿宋_GB2312"/>
        </w:rPr>
        <w:t>采购包最高限价（元）: 2,721,900.00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西安市市建水情监测站点防汛特征值及洪水预警指标复核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2,721,900.00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标的名称：西安市市建水情监测站点防汛特征值及洪水预警指标复核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项目拟对32处水情监测站点的防汛特征值及洪水预警指标进行全面、系统、科学的复核。32处水情监测站点分别分布于黑河、沙河、甘峪河、沣河、滈河、潏河、皂河、太平河、漕运明渠、灞河、岱峪河、清峪河、流峪河、汤峪河、就峪河、耿峪河、库峪河、浐河、幸福渠等19条河流，其中河道水情监测站点22处，渠道站水情监测站点10处，主要涉及周至县、鄠邑区、长安区、蓝田县、灞桥区、未央区等6个区（县）。</w:t>
            </w:r>
          </w:p>
          <w:p>
            <w:pPr>
              <w:pStyle w:val="null3"/>
              <w:ind w:firstLine="400"/>
              <w:jc w:val="center"/>
            </w:pPr>
            <w:r>
              <w:rPr>
                <w:rFonts w:ascii="仿宋_GB2312" w:hAnsi="仿宋_GB2312" w:cs="仿宋_GB2312" w:eastAsia="仿宋_GB2312"/>
              </w:rPr>
              <w:t>32处水情监测站点基本情况表</w:t>
            </w:r>
          </w:p>
          <w:tbl>
            <w:tblPr>
              <w:tblBorders>
                <w:top w:val="none" w:color="000000" w:sz="4"/>
                <w:left w:val="none" w:color="000000" w:sz="4"/>
                <w:bottom w:val="none" w:color="000000" w:sz="4"/>
                <w:right w:val="none" w:color="000000" w:sz="4"/>
                <w:insideH w:val="none"/>
                <w:insideV w:val="none"/>
              </w:tblBorders>
            </w:tblPr>
            <w:tblGrid>
              <w:gridCol w:w="175"/>
              <w:gridCol w:w="389"/>
              <w:gridCol w:w="282"/>
              <w:gridCol w:w="282"/>
              <w:gridCol w:w="774"/>
              <w:gridCol w:w="325"/>
              <w:gridCol w:w="325"/>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序号</w:t>
                  </w:r>
                </w:p>
              </w:tc>
              <w:tc>
                <w:tcPr>
                  <w:tcW w:type="dxa" w:w="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测站名称</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测站编码</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所在</w:t>
                  </w:r>
                </w:p>
                <w:p>
                  <w:pPr>
                    <w:pStyle w:val="null3"/>
                    <w:ind w:left="-45" w:right="-45"/>
                    <w:jc w:val="center"/>
                  </w:pPr>
                  <w:r>
                    <w:rPr>
                      <w:rFonts w:ascii="仿宋_GB2312" w:hAnsi="仿宋_GB2312" w:cs="仿宋_GB2312" w:eastAsia="仿宋_GB2312"/>
                      <w:sz w:val="21"/>
                      <w:b/>
                    </w:rPr>
                    <w:t>河流</w:t>
                  </w:r>
                </w:p>
              </w:tc>
              <w:tc>
                <w:tcPr>
                  <w:tcW w:type="dxa" w:w="7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测站位置</w:t>
                  </w:r>
                </w:p>
              </w:tc>
              <w:tc>
                <w:tcPr>
                  <w:tcW w:type="dxa" w:w="3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测站类型</w:t>
                  </w:r>
                </w:p>
              </w:tc>
              <w:tc>
                <w:tcPr>
                  <w:tcW w:type="dxa" w:w="3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黑河入渭站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周至县司竹镇阿岔村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田峪入黑站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周至县楼观镇东楼村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沙河周至城市段站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周至县二曲街道镇东村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桑园站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周至县马召镇群兴三村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白龙沟站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甘峪河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鄠邑区蒋村街道白龙沟村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潏河入汇站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长安区兴隆街道沣惠村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滈河</w:t>
                  </w:r>
                  <w:r>
                    <w:rPr>
                      <w:rFonts w:ascii="仿宋_GB2312" w:hAnsi="仿宋_GB2312" w:cs="仿宋_GB2312" w:eastAsia="仿宋_GB2312"/>
                      <w:sz w:val="21"/>
                    </w:rPr>
                    <w:t>-</w:t>
                  </w:r>
                  <w:r>
                    <w:rPr>
                      <w:rFonts w:ascii="仿宋_GB2312" w:hAnsi="仿宋_GB2312" w:cs="仿宋_GB2312" w:eastAsia="仿宋_GB2312"/>
                      <w:sz w:val="21"/>
                    </w:rPr>
                    <w:t>长安区</w:t>
                  </w:r>
                  <w:r>
                    <w:rPr>
                      <w:rFonts w:ascii="仿宋_GB2312" w:hAnsi="仿宋_GB2312" w:cs="仿宋_GB2312" w:eastAsia="仿宋_GB2312"/>
                      <w:sz w:val="21"/>
                    </w:rPr>
                    <w:t>-S107</w:t>
                  </w:r>
                  <w:r>
                    <w:rPr>
                      <w:rFonts w:ascii="仿宋_GB2312" w:hAnsi="仿宋_GB2312" w:cs="仿宋_GB2312" w:eastAsia="仿宋_GB2312"/>
                      <w:sz w:val="21"/>
                    </w:rPr>
                    <w:t>桥上游站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滈河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长安区五台街道太白石村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常宁体育训练中心站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82032009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潏河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长安区杜曲街道新村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华夏文旅站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灞桥区灞桥街道华文社区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贾家湾站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岱峪河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蓝田县焦岱镇柳家湾村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玉山镇站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清峪河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蓝田县玉山镇许庙村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流峪飞峡站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流峪河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蓝田县九间房镇油坊坪村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九间房镇穆家堰站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蓝田县九间房镇穆家堰村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霸塬站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蓝田县灞源镇灞源街村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S107</w:t>
                  </w:r>
                  <w:r>
                    <w:rPr>
                      <w:rFonts w:ascii="仿宋_GB2312" w:hAnsi="仿宋_GB2312" w:cs="仿宋_GB2312" w:eastAsia="仿宋_GB2312"/>
                      <w:sz w:val="21"/>
                    </w:rPr>
                    <w:t>汤峪河桥站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82032027</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汤峪河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蓝田县焦岱镇陈家沟村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S107</w:t>
                  </w:r>
                  <w:r>
                    <w:rPr>
                      <w:rFonts w:ascii="仿宋_GB2312" w:hAnsi="仿宋_GB2312" w:cs="仿宋_GB2312" w:eastAsia="仿宋_GB2312"/>
                      <w:sz w:val="21"/>
                    </w:rPr>
                    <w:t>就峪河大桥站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82032028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周至县楼观镇西楼村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耿峪口站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80085039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耿峪河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周至县九峰镇耿峪村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沣峪口</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80085201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长安区滦镇街道沣峪口村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库峪口</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80085209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库峪河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长安区杨庄街道二龙峪村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鸣犊站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80085210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长安区鸣犊街道新风村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80085487</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周至县楼观镇西楼村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82032101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灞桥区红旗街道赵庄村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第九污水处理厂站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长安区韦曲街道靖宁路社区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24</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阿房四路站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未央区三桥街道阿房四路社区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尚苑路站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未央区草滩街道草一社区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沙河滩村站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未央区建章路街道沙河滩村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汉城湖站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82032014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未央区汉城街道朱宏堡社区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水位、流速</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六村堡站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80085479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未央区六村堡街道六村堡村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80085480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未央区六村堡街道尚宏社区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w:t>
                  </w:r>
                  <w:r>
                    <w:rPr>
                      <w:rFonts w:ascii="仿宋_GB2312" w:hAnsi="仿宋_GB2312" w:cs="仿宋_GB2312" w:eastAsia="仿宋_GB2312"/>
                      <w:sz w:val="21"/>
                    </w:rPr>
                    <w:t>8</w:t>
                  </w:r>
                  <w:r>
                    <w:rPr>
                      <w:rFonts w:ascii="仿宋_GB2312" w:hAnsi="仿宋_GB2312" w:cs="仿宋_GB2312" w:eastAsia="仿宋_GB2312"/>
                      <w:sz w:val="21"/>
                    </w:rPr>
                    <w:t>号管理站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80085481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未央区建章路街道沙河滩村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幸福渠站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80085558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幸福渠</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未央区未央湖街道王家棚社区</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皂河（昆明路）</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80085559</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未央区建章路街道焦家村</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雨量、水位</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bl>
          <w:p>
            <w:pPr>
              <w:pStyle w:val="null3"/>
              <w:ind w:firstLine="400"/>
            </w:pPr>
            <w:r>
              <w:rPr>
                <w:rFonts w:ascii="仿宋_GB2312" w:hAnsi="仿宋_GB2312" w:cs="仿宋_GB2312" w:eastAsia="仿宋_GB2312"/>
                <w:b/>
              </w:rPr>
              <w:t>二、项目任务</w:t>
            </w:r>
          </w:p>
          <w:p>
            <w:pPr>
              <w:pStyle w:val="null3"/>
              <w:ind w:firstLine="400"/>
            </w:pPr>
            <w:r>
              <w:rPr>
                <w:rFonts w:ascii="仿宋_GB2312" w:hAnsi="仿宋_GB2312" w:cs="仿宋_GB2312" w:eastAsia="仿宋_GB2312"/>
              </w:rPr>
              <w:t>本次工作围绕19条河流32处水情监测站点展开，核心任务涵盖基础资料收集、现场勘查测量、流量测验、水位-流量关系曲线率定、设计洪水计算、防汛特征值复核、预警指标复核、成果汇总及视频监控建设九大环节，最终编制并提交《西安市市建水情监测站点防汛特征值及洪水预警指标复核项目技术报告》，确保成果直接服务于防汛应急响应启动、调度指挥及抢险救灾等关键环节，实现预警指标与应急响应有效联动，构建“指标－预警－响应－处置”完整闭环，提升防汛应急预案的科学性与实用性，为防汛实战工作提供精准指导。</w:t>
            </w:r>
          </w:p>
          <w:p>
            <w:pPr>
              <w:pStyle w:val="null3"/>
              <w:ind w:firstLine="400"/>
            </w:pPr>
            <w:r>
              <w:rPr>
                <w:rFonts w:ascii="仿宋_GB2312" w:hAnsi="仿宋_GB2312" w:cs="仿宋_GB2312" w:eastAsia="仿宋_GB2312"/>
                <w:b/>
              </w:rPr>
              <w:t>三、具体工作内容</w:t>
            </w:r>
          </w:p>
          <w:p>
            <w:pPr>
              <w:pStyle w:val="null3"/>
              <w:ind w:firstLine="400"/>
            </w:pPr>
            <w:r>
              <w:rPr>
                <w:rFonts w:ascii="仿宋_GB2312" w:hAnsi="仿宋_GB2312" w:cs="仿宋_GB2312" w:eastAsia="仿宋_GB2312"/>
                <w:b/>
              </w:rPr>
              <w:t>（一）调查测量</w:t>
            </w:r>
          </w:p>
          <w:p>
            <w:pPr>
              <w:pStyle w:val="null3"/>
              <w:ind w:firstLine="400"/>
            </w:pPr>
            <w:r>
              <w:rPr>
                <w:rFonts w:ascii="仿宋_GB2312" w:hAnsi="仿宋_GB2312" w:cs="仿宋_GB2312" w:eastAsia="仿宋_GB2312"/>
                <w:b/>
              </w:rPr>
              <w:t>1.基础资料调查收集</w:t>
            </w:r>
          </w:p>
          <w:p>
            <w:pPr>
              <w:pStyle w:val="null3"/>
              <w:ind w:firstLine="400"/>
            </w:pPr>
            <w:r>
              <w:rPr>
                <w:rFonts w:ascii="仿宋_GB2312" w:hAnsi="仿宋_GB2312" w:cs="仿宋_GB2312" w:eastAsia="仿宋_GB2312"/>
              </w:rPr>
              <w:t>开展河段查勘调查、水利工程调查、防护对象调查，系统收集各监测站点基础信息、所属河流概况、暴雨特性、防洪工程参数、防护对象等资料，安排专业技术人员对资料的完整性、可靠性核查校验，以便后期分析及应用。</w:t>
            </w:r>
          </w:p>
          <w:p>
            <w:pPr>
              <w:pStyle w:val="null3"/>
              <w:ind w:firstLine="400"/>
            </w:pPr>
            <w:r>
              <w:rPr>
                <w:rFonts w:ascii="仿宋_GB2312" w:hAnsi="仿宋_GB2312" w:cs="仿宋_GB2312" w:eastAsia="仿宋_GB2312"/>
                <w:b/>
              </w:rPr>
              <w:t>2.断面勘查测量</w:t>
            </w:r>
          </w:p>
          <w:p>
            <w:pPr>
              <w:pStyle w:val="null3"/>
              <w:ind w:firstLine="400"/>
            </w:pPr>
            <w:r>
              <w:rPr>
                <w:rFonts w:ascii="仿宋_GB2312" w:hAnsi="仿宋_GB2312" w:cs="仿宋_GB2312" w:eastAsia="仿宋_GB2312"/>
              </w:rPr>
              <w:t>对黑河、沙河、甘峪河、沣河、滈河、潏河、皂河、太平河、漕运明渠、灞河、岱峪河、清峪河、流峪河、汤峪河、就峪河、耿峪河、库峪河、浐河、幸福渠等19条河流上所建32处水情监测站点所在位置开展历史洪水调查及横纵断面测量。</w:t>
            </w:r>
          </w:p>
          <w:p>
            <w:pPr>
              <w:pStyle w:val="null3"/>
              <w:ind w:firstLine="400"/>
            </w:pPr>
            <w:r>
              <w:rPr>
                <w:rFonts w:ascii="仿宋_GB2312" w:hAnsi="仿宋_GB2312" w:cs="仿宋_GB2312" w:eastAsia="仿宋_GB2312"/>
              </w:rPr>
              <w:t>22处河道监测站点主要分布在黑河、沙河、甘峪河、沣河、滈河、潏河、灞河、岱峪河、清峪河、流峪河、汤峪河、就峪河、耿峪河、库峪河、浐河等15条山区河流，涉及周至县、鄠邑区、长安区、蓝田县、灞桥区等5个区（县），横断面共布设92处、累计测量长度12.39km；纵断面共布设22处、累计测量长度14.66km；每站横纵断面各测量3次，分别为汛前测量1次、较大洪水过后测量1次，汛后测量1次；同时施测河道比降，每站测3次、每次测3条。10处渠道监测站点分布于4条城市河流上，横断面共布设32条、累计测量长度1.13km；纵断面共布设10条、累计测量长度4.45km；由于站点断面特性，每站横纵断面测量1次，同时施测河道比降，每站测1次、每次测3条。测量同时进行勘察、上下游水利工程现场踏勘、比降测量等外业工作，掌握河段水力特性及工程分布情况，统一采用2000国家大地坐标系及1985国家高程基准。</w:t>
            </w:r>
          </w:p>
          <w:p>
            <w:pPr>
              <w:pStyle w:val="null3"/>
              <w:ind w:firstLine="400"/>
            </w:pPr>
            <w:r>
              <w:rPr>
                <w:rFonts w:ascii="仿宋_GB2312" w:hAnsi="仿宋_GB2312" w:cs="仿宋_GB2312" w:eastAsia="仿宋_GB2312"/>
                <w:b/>
              </w:rPr>
              <w:t>（二）水文分析计算</w:t>
            </w:r>
          </w:p>
          <w:p>
            <w:pPr>
              <w:pStyle w:val="null3"/>
              <w:ind w:firstLine="400"/>
            </w:pPr>
            <w:r>
              <w:rPr>
                <w:rFonts w:ascii="仿宋_GB2312" w:hAnsi="仿宋_GB2312" w:cs="仿宋_GB2312" w:eastAsia="仿宋_GB2312"/>
              </w:rPr>
              <w:t>对19条河流上所建32处水情监测站点进行基本资料整理、复查与设计大纲编制，开展流域自然地理资料分析、历史洪水复查，并进行流量测验，每站流量各测验3次，含汛前低水流量测验1次、较大洪水测验1次，汛后测验1次；汛前、汛后流量测验，用来校核本站低水部分水位－流量关系曲线及参数；较大洪水测验，用来校核本站中高水部分水位－流量关系曲线及参数；明晰河道冲淤变化情况；积累实测资料；对所在河段堤防防护提供参考依据。</w:t>
            </w:r>
          </w:p>
          <w:p>
            <w:pPr>
              <w:pStyle w:val="null3"/>
              <w:ind w:firstLine="400"/>
            </w:pPr>
            <w:r>
              <w:rPr>
                <w:rFonts w:ascii="仿宋_GB2312" w:hAnsi="仿宋_GB2312" w:cs="仿宋_GB2312" w:eastAsia="仿宋_GB2312"/>
                <w:b/>
              </w:rPr>
              <w:t>（三）水位流量关系曲线率定</w:t>
            </w:r>
          </w:p>
          <w:p>
            <w:pPr>
              <w:pStyle w:val="null3"/>
              <w:ind w:firstLine="400"/>
            </w:pPr>
            <w:r>
              <w:rPr>
                <w:rFonts w:ascii="仿宋_GB2312" w:hAnsi="仿宋_GB2312" w:cs="仿宋_GB2312" w:eastAsia="仿宋_GB2312"/>
              </w:rPr>
              <w:t>严格遵循相关技术标准，针对无实测流量的站点，在确认河道水力条件的前提下，采用曼宁公式进行流量推算；对复式断面站点，区分主槽与滩地分别开展过流计算，科学确定水面比降、糙率等关键参数。低水段水位-流量关系曲线精度控制，通过本断面实测流量成果及横向对比下垫面相似水文站实测成果，校核参数选取的合理性，修订低水段曲线；结合河段水力特性及中高水实测成果及已建防洪工程或涉河工程设计洪水资料，完成中高水部分参数成果验证；确保水位－流量关系曲线修订满足规范要求。每站修订3次，总计修订96站次，分别在每次流量测验完成后进行修订。</w:t>
            </w:r>
          </w:p>
          <w:p>
            <w:pPr>
              <w:pStyle w:val="null3"/>
              <w:ind w:firstLine="400"/>
            </w:pPr>
            <w:r>
              <w:rPr>
                <w:rFonts w:ascii="仿宋_GB2312" w:hAnsi="仿宋_GB2312" w:cs="仿宋_GB2312" w:eastAsia="仿宋_GB2312"/>
                <w:b/>
              </w:rPr>
              <w:t>（四）洪水特征值分析</w:t>
            </w:r>
          </w:p>
          <w:p>
            <w:pPr>
              <w:pStyle w:val="null3"/>
              <w:ind w:firstLine="400"/>
            </w:pPr>
            <w:r>
              <w:rPr>
                <w:rFonts w:ascii="仿宋_GB2312" w:hAnsi="仿宋_GB2312" w:cs="仿宋_GB2312" w:eastAsia="仿宋_GB2312"/>
              </w:rPr>
              <w:t>对32处站点所在流域进行自然地理资料整理及分析；收集32处站点断面上下游或邻近流域水文站历年来年最大洪水及历史洪水资料，进行峰、量复核及重现期考证确认，并进行水文站设计洪水计算。22处河道监测站点，根据设计洪水推求方法，采用经验公式法、水文比拟法直接进行计算，在进行推理公式计算时，进行暴雨特性及成因分析、暴雨及洪水分析计算，结合上下游已建成水利工程或批复成果，综合分析确定22处断面设计洪水。10处渠道水情监测站点，根据暴雨特性、成因及暴雨强度、城镇排水设计历时、径流系数等参数计算断面不同频率设计洪水，结合渠道设计标准，综合分析确定10处断面设计洪水。</w:t>
            </w:r>
          </w:p>
          <w:p>
            <w:pPr>
              <w:pStyle w:val="null3"/>
              <w:ind w:firstLine="400"/>
            </w:pPr>
            <w:r>
              <w:rPr>
                <w:rFonts w:ascii="仿宋_GB2312" w:hAnsi="仿宋_GB2312" w:cs="仿宋_GB2312" w:eastAsia="仿宋_GB2312"/>
              </w:rPr>
              <w:t>依据河道断面及防洪实际情况，充分考虑近年来水文情势变化、河流特征及流域特性、防洪标准、防洪工程、渠道设计标准、历史灾害情况及沿岸防护对象，确定警戒流量及保证流量，使得特征值既符合河流防洪能力现状，又能真实反映河道安全边界，为防汛调度提供关键阈值。</w:t>
            </w:r>
          </w:p>
          <w:p>
            <w:pPr>
              <w:pStyle w:val="null3"/>
              <w:ind w:firstLine="400"/>
            </w:pPr>
            <w:r>
              <w:rPr>
                <w:rFonts w:ascii="仿宋_GB2312" w:hAnsi="仿宋_GB2312" w:cs="仿宋_GB2312" w:eastAsia="仿宋_GB2312"/>
                <w:b/>
              </w:rPr>
              <w:t>（五）预警指标计算</w:t>
            </w:r>
          </w:p>
          <w:p>
            <w:pPr>
              <w:pStyle w:val="null3"/>
              <w:ind w:firstLine="400"/>
            </w:pPr>
            <w:r>
              <w:rPr>
                <w:rFonts w:ascii="仿宋_GB2312" w:hAnsi="仿宋_GB2312" w:cs="仿宋_GB2312" w:eastAsia="仿宋_GB2312"/>
              </w:rPr>
              <w:t>结合我市防汛工作实际需求，依据断面设计洪水计算成果，综合考虑32处断面所处区域降雨特性、产汇流规律及下游防护对象受威胁程度，科学设定蓝、黄、橙、红四级预警触发指标，确保确定后的预警指标能在应急响应程序启动上发挥作用。</w:t>
            </w:r>
          </w:p>
          <w:p>
            <w:pPr>
              <w:pStyle w:val="null3"/>
              <w:ind w:firstLine="400"/>
            </w:pPr>
            <w:r>
              <w:rPr>
                <w:rFonts w:ascii="仿宋_GB2312" w:hAnsi="仿宋_GB2312" w:cs="仿宋_GB2312" w:eastAsia="仿宋_GB2312"/>
                <w:b/>
              </w:rPr>
              <w:t>（六）视频监控建设</w:t>
            </w:r>
            <w:r>
              <w:rPr>
                <w:rFonts w:ascii="仿宋_GB2312" w:hAnsi="仿宋_GB2312" w:cs="仿宋_GB2312" w:eastAsia="仿宋_GB2312"/>
                <w:b/>
              </w:rPr>
              <w:t xml:space="preserve"> </w:t>
            </w:r>
          </w:p>
          <w:p>
            <w:pPr>
              <w:pStyle w:val="null3"/>
              <w:ind w:firstLine="400"/>
            </w:pPr>
            <w:r>
              <w:rPr>
                <w:rFonts w:ascii="仿宋_GB2312" w:hAnsi="仿宋_GB2312" w:cs="仿宋_GB2312" w:eastAsia="仿宋_GB2312"/>
              </w:rPr>
              <w:t>1、视频监控建设情况</w:t>
            </w:r>
          </w:p>
          <w:p>
            <w:pPr>
              <w:pStyle w:val="null3"/>
              <w:ind w:firstLine="400"/>
            </w:pPr>
            <w:r>
              <w:rPr>
                <w:rFonts w:ascii="仿宋_GB2312" w:hAnsi="仿宋_GB2312" w:cs="仿宋_GB2312" w:eastAsia="仿宋_GB2312"/>
              </w:rPr>
              <w:t>依据32处水情监测站点建设现状，结合断面河流交汇口、顶冲口、险工险段区域及电力情况，本次共建设15台视频监控设备，其中河道站点12处、渠道站点3处，详见下表。</w:t>
            </w:r>
          </w:p>
          <w:p>
            <w:pPr>
              <w:pStyle w:val="null3"/>
              <w:ind w:firstLine="400"/>
              <w:jc w:val="center"/>
            </w:pPr>
            <w:r>
              <w:rPr>
                <w:rFonts w:ascii="仿宋_GB2312" w:hAnsi="仿宋_GB2312" w:cs="仿宋_GB2312" w:eastAsia="仿宋_GB2312"/>
              </w:rPr>
              <w:t>32处水情监测站点视频建设情况统计表</w:t>
            </w:r>
          </w:p>
          <w:tbl>
            <w:tblPr>
              <w:tblBorders>
                <w:top w:val="none" w:color="000000" w:sz="4"/>
                <w:left w:val="none" w:color="000000" w:sz="4"/>
                <w:bottom w:val="none" w:color="000000" w:sz="4"/>
                <w:right w:val="none" w:color="000000" w:sz="4"/>
                <w:insideH w:val="none"/>
                <w:insideV w:val="none"/>
              </w:tblBorders>
            </w:tblPr>
            <w:tblGrid>
              <w:gridCol w:w="171"/>
              <w:gridCol w:w="444"/>
              <w:gridCol w:w="256"/>
              <w:gridCol w:w="786"/>
              <w:gridCol w:w="346"/>
              <w:gridCol w:w="551"/>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序号</w:t>
                  </w:r>
                </w:p>
              </w:tc>
              <w:tc>
                <w:tcPr>
                  <w:tcW w:type="dxa" w:w="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测站名称</w:t>
                  </w:r>
                </w:p>
              </w:tc>
              <w:tc>
                <w:tcPr>
                  <w:tcW w:type="dxa" w:w="2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所在</w:t>
                  </w:r>
                </w:p>
                <w:p>
                  <w:pPr>
                    <w:pStyle w:val="null3"/>
                    <w:ind w:left="-45" w:right="-45"/>
                    <w:jc w:val="center"/>
                  </w:pPr>
                  <w:r>
                    <w:rPr>
                      <w:rFonts w:ascii="仿宋_GB2312" w:hAnsi="仿宋_GB2312" w:cs="仿宋_GB2312" w:eastAsia="仿宋_GB2312"/>
                      <w:sz w:val="21"/>
                      <w:b/>
                    </w:rPr>
                    <w:t>河流</w:t>
                  </w:r>
                </w:p>
              </w:tc>
              <w:tc>
                <w:tcPr>
                  <w:tcW w:type="dxa" w:w="7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测站位置</w:t>
                  </w:r>
                </w:p>
              </w:tc>
              <w:tc>
                <w:tcPr>
                  <w:tcW w:type="dxa" w:w="3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是否架设监控设备</w:t>
                  </w:r>
                </w:p>
              </w:tc>
              <w:tc>
                <w:tcPr>
                  <w:tcW w:type="dxa" w:w="5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b/>
                    </w:rPr>
                    <w:t>备    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黑河入渭站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周至县司竹镇阿岔村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田峪入黑站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黑河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周至县楼观镇东楼村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沙河周至城市段站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周至县二曲街道镇东村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桑园站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周至县马召镇群兴三村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潏河入汇站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长安区兴隆街道沣惠村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滈河-长安区-S107桥上游站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滈河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长安区五台街道太白石村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贾家湾站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岱峪河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蓝田县焦岱镇柳家湾村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流峪飞峡站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流峪河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蓝田县九间房镇油坊坪村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霸塬站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蓝田县灞源镇灞源街村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沣峪口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沣峪河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长安区滦镇街道沣峪口村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鸣犊站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长安区鸣犊街道新风村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浐河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灞桥区红旗街道赵庄村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河道站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尚苑路站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未央区草滩街道草一社区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六村堡站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未央区六村堡街道六村堡村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皂河（昆明路）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未央区建章路街道焦家村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是</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渠道站</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白龙沟站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甘峪河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鄠邑区蒋村街道白龙沟村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横臂在桥体上，且安装维护难度大、成本高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常宁体育训练中心站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潏河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长安区杜曲街道新村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横臂在桥体上，且安装维护难度大、成本高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第九污水处理厂站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长安区韦曲街道靖宁路社区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横臂承重力不足以支撑新架设备</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19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阿房四路站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皂河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未央区三桥街道阿房四路社区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悬臂及设备箱位于桥下，桥头有摄像头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沙河滩村站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未央区建章路街道沙河滩村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有遮挡，且横臂承重力不足以支撑新架设备</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汉城湖站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未央区汉城街道朱宏堡社区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华夏文旅站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灞桥区灞桥街道华文社区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遮挡多，拍摄视野受限</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玉山镇站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清峪河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蓝田县玉山镇许庙村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横臂承重力不足以支撑新架设备</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九间房镇穆家堰站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灞河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蓝田县九间房镇穆家堰村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横臂在桥体上，且安装维护难度大、成本高</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S107汤峪河桥站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汤峪河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蓝田县焦岱镇陈家沟村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S107就峪河大桥站</w:t>
                  </w:r>
                </w:p>
              </w:tc>
              <w:tc>
                <w:tcPr>
                  <w:tcW w:type="dxa" w:w="2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周至县楼观镇西楼村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耿峪口站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耿峪河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周至县九峰镇耿峪村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库峪口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库峪河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长安区杨庄街道二龙峪村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附近有遮挡，供电续航不稳定</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29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漕运明渠</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未央区六村堡街道尚宏社区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太平河8号管理站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太平河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未央区建章路街道沙河滩村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就峪河</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周至县楼观镇西楼村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S107就峪河大桥站已建有摄像头，两处距离50米左右</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32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幸福渠站</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幸福渠</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未央区未央湖街道王家棚社区</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否</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21"/>
                    </w:rPr>
                    <w:t>已建有摄像头</w:t>
                  </w:r>
                </w:p>
              </w:tc>
            </w:tr>
          </w:tbl>
          <w:p>
            <w:pPr>
              <w:pStyle w:val="null3"/>
              <w:ind w:left="405"/>
            </w:pPr>
            <w:r>
              <w:rPr>
                <w:rFonts w:ascii="仿宋_GB2312" w:hAnsi="仿宋_GB2312" w:cs="仿宋_GB2312" w:eastAsia="仿宋_GB2312"/>
                <w:b/>
              </w:rPr>
              <w:t>2、视频监控设备参数要求</w:t>
            </w:r>
          </w:p>
          <w:p>
            <w:pPr>
              <w:pStyle w:val="null3"/>
              <w:ind w:firstLine="400"/>
            </w:pPr>
            <w:r>
              <w:rPr>
                <w:rFonts w:ascii="仿宋_GB2312" w:hAnsi="仿宋_GB2312" w:cs="仿宋_GB2312" w:eastAsia="仿宋_GB2312"/>
              </w:rPr>
              <w:t>（1）网络架构及数据流向</w:t>
            </w:r>
          </w:p>
          <w:p>
            <w:pPr>
              <w:pStyle w:val="null3"/>
              <w:ind w:firstLine="400"/>
            </w:pPr>
            <w:r>
              <w:rPr>
                <w:rFonts w:ascii="仿宋_GB2312" w:hAnsi="仿宋_GB2312" w:cs="仿宋_GB2312" w:eastAsia="仿宋_GB2312"/>
              </w:rPr>
              <w:t>视频监控设备的网络架构与数据流向结构示意图如下图所示。</w:t>
            </w:r>
          </w:p>
          <w:p>
            <w:pPr>
              <w:pStyle w:val="null3"/>
              <w:ind w:firstLine="400"/>
            </w:pPr>
            <w:r>
              <w:drawing>
                <wp:inline distT="0" distR="0" distB="0" distL="0">
                  <wp:extent cx="1621155" cy="12358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35899"/>
                          </a:xfrm>
                          <a:prstGeom prst="rect">
                            <a:avLst/>
                          </a:prstGeom>
                        </pic:spPr>
                      </pic:pic>
                    </a:graphicData>
                  </a:graphic>
                </wp:inline>
              </w:drawing>
            </w:r>
          </w:p>
          <w:p>
            <w:pPr>
              <w:pStyle w:val="null3"/>
              <w:ind w:firstLine="400"/>
            </w:pPr>
            <w:r>
              <w:rPr>
                <w:rFonts w:ascii="仿宋_GB2312" w:hAnsi="仿宋_GB2312" w:cs="仿宋_GB2312" w:eastAsia="仿宋_GB2312"/>
              </w:rPr>
              <w:t>（2）网络球机</w:t>
            </w:r>
          </w:p>
          <w:p>
            <w:pPr>
              <w:pStyle w:val="null3"/>
              <w:ind w:firstLine="400"/>
            </w:pPr>
            <w:r>
              <w:rPr>
                <w:rFonts w:ascii="仿宋_GB2312" w:hAnsi="仿宋_GB2312" w:cs="仿宋_GB2312" w:eastAsia="仿宋_GB2312"/>
              </w:rPr>
              <w:t>①≥4英寸红外球机；</w:t>
            </w:r>
          </w:p>
          <w:p>
            <w:pPr>
              <w:pStyle w:val="null3"/>
              <w:ind w:firstLine="400"/>
            </w:pPr>
            <w:r>
              <w:rPr>
                <w:rFonts w:ascii="仿宋_GB2312" w:hAnsi="仿宋_GB2312" w:cs="仿宋_GB2312" w:eastAsia="仿宋_GB2312"/>
              </w:rPr>
              <w:t>②支持4G（移动、联通，电信）网络传输；</w:t>
            </w:r>
          </w:p>
          <w:p>
            <w:pPr>
              <w:pStyle w:val="null3"/>
              <w:ind w:firstLine="400"/>
            </w:pPr>
            <w:r>
              <w:rPr>
                <w:rFonts w:ascii="仿宋_GB2312" w:hAnsi="仿宋_GB2312" w:cs="仿宋_GB2312" w:eastAsia="仿宋_GB2312"/>
              </w:rPr>
              <w:t>③支持≥1/2.8"、 ≥400万，采用高效补光阵列，低功耗，红外补光≥100 m，内置加热玻璃，有效支持超低照度，0.005 Lux @F1.6（彩色），0.001 Lux @F1.6（黑白），0 Lux with IR及以上；</w:t>
            </w:r>
          </w:p>
          <w:p>
            <w:pPr>
              <w:pStyle w:val="null3"/>
              <w:ind w:firstLine="400"/>
            </w:pPr>
            <w:r>
              <w:rPr>
                <w:rFonts w:ascii="仿宋_GB2312" w:hAnsi="仿宋_GB2312" w:cs="仿宋_GB2312" w:eastAsia="仿宋_GB2312"/>
              </w:rPr>
              <w:t>④支持≥22倍光学变倍，16倍数字变倍支持三码流技术，每路码流可独立配置分辨率及帧率支持3D数字降噪；</w:t>
            </w:r>
          </w:p>
          <w:p>
            <w:pPr>
              <w:pStyle w:val="null3"/>
              <w:ind w:firstLine="400"/>
            </w:pPr>
            <w:r>
              <w:rPr>
                <w:rFonts w:ascii="仿宋_GB2312" w:hAnsi="仿宋_GB2312" w:cs="仿宋_GB2312" w:eastAsia="仿宋_GB2312"/>
              </w:rPr>
              <w:t>⑤支持真宽动态支持定时抓图与事件抓图功能，支持定时任务，一键守望，一键巡航功能，</w:t>
            </w:r>
            <w:r>
              <w:rPr>
                <w:rFonts w:ascii="仿宋_GB2312" w:hAnsi="仿宋_GB2312" w:cs="仿宋_GB2312" w:eastAsia="仿宋_GB2312"/>
              </w:rPr>
              <w:t>兼容市场常见SDK，开放型网络视频接口，ISAPI，GB/T28181，ISUP；</w:t>
            </w:r>
          </w:p>
          <w:p>
            <w:pPr>
              <w:pStyle w:val="null3"/>
              <w:ind w:firstLine="400"/>
            </w:pPr>
            <w:r>
              <w:rPr>
                <w:rFonts w:ascii="仿宋_GB2312" w:hAnsi="仿宋_GB2312" w:cs="仿宋_GB2312" w:eastAsia="仿宋_GB2312"/>
              </w:rPr>
              <w:t>⑥支持水灾害防御系统平台接入支持≥512 GB MicroSD卡存储，防护等级≥IP66，符合GB/T17626.2/3/4/5/6四级标准支持4G（移动、联通、电信）网络传输，兼容3G（移动、联通、电信）；</w:t>
            </w:r>
          </w:p>
          <w:p>
            <w:pPr>
              <w:pStyle w:val="null3"/>
              <w:ind w:firstLine="400"/>
            </w:pPr>
            <w:r>
              <w:rPr>
                <w:rFonts w:ascii="仿宋_GB2312" w:hAnsi="仿宋_GB2312" w:cs="仿宋_GB2312" w:eastAsia="仿宋_GB2312"/>
              </w:rPr>
              <w:t>⑦支持读取标准电池电量信息并进行OSD叠加内置可插拔电信4G NANO物联网卡，此卡定向到互联服务器。</w:t>
            </w:r>
          </w:p>
          <w:p>
            <w:pPr>
              <w:pStyle w:val="null3"/>
              <w:ind w:firstLine="400"/>
            </w:pPr>
            <w:r>
              <w:rPr>
                <w:rFonts w:ascii="仿宋_GB2312" w:hAnsi="仿宋_GB2312" w:cs="仿宋_GB2312" w:eastAsia="仿宋_GB2312"/>
              </w:rPr>
              <w:t xml:space="preserve">（3）供电保障设备 </w:t>
            </w:r>
          </w:p>
          <w:p>
            <w:pPr>
              <w:pStyle w:val="null3"/>
              <w:ind w:firstLine="400"/>
            </w:pPr>
            <w:r>
              <w:rPr>
                <w:rFonts w:ascii="仿宋_GB2312" w:hAnsi="仿宋_GB2312" w:cs="仿宋_GB2312" w:eastAsia="仿宋_GB2312"/>
              </w:rPr>
              <w:t>至少包含1块100AH铅酸蓄电池（参考尺寸331×176×214×220mm）、1片（参考尺寸900×670×30mm）规格的100W单晶太阳能板，以及1套根据现场环境定制焊接的太阳能板支架。配套1台MPTT充电控制器。</w:t>
            </w:r>
          </w:p>
          <w:p>
            <w:pPr>
              <w:pStyle w:val="null3"/>
              <w:ind w:firstLine="400"/>
            </w:pPr>
            <w:r>
              <w:rPr>
                <w:rFonts w:ascii="仿宋_GB2312" w:hAnsi="仿宋_GB2312" w:cs="仿宋_GB2312" w:eastAsia="仿宋_GB2312"/>
              </w:rPr>
              <w:t>（4）辅助及配套设备</w:t>
            </w:r>
          </w:p>
          <w:p>
            <w:pPr>
              <w:pStyle w:val="null3"/>
              <w:ind w:firstLine="400"/>
            </w:pPr>
            <w:r>
              <w:rPr>
                <w:rFonts w:ascii="仿宋_GB2312" w:hAnsi="仿宋_GB2312" w:cs="仿宋_GB2312" w:eastAsia="仿宋_GB2312"/>
              </w:rPr>
              <w:t>设备防护：配备一个规格约为400×500×300mm的设备箱，网络服务：提供≥100G的流量服务。</w:t>
            </w:r>
          </w:p>
          <w:p>
            <w:pPr>
              <w:pStyle w:val="null3"/>
              <w:ind w:firstLine="400"/>
            </w:pPr>
            <w:r>
              <w:rPr>
                <w:rFonts w:ascii="仿宋_GB2312" w:hAnsi="仿宋_GB2312" w:cs="仿宋_GB2312" w:eastAsia="仿宋_GB2312"/>
                <w:b/>
              </w:rPr>
              <w:t>（七）成果整理及汇总</w:t>
            </w:r>
          </w:p>
          <w:p>
            <w:pPr>
              <w:pStyle w:val="null3"/>
              <w:ind w:firstLine="400"/>
            </w:pPr>
            <w:r>
              <w:rPr>
                <w:rFonts w:ascii="仿宋_GB2312" w:hAnsi="仿宋_GB2312" w:cs="仿宋_GB2312" w:eastAsia="仿宋_GB2312"/>
                <w:b/>
              </w:rPr>
              <w:t>1、成果资料</w:t>
            </w:r>
          </w:p>
          <w:p>
            <w:pPr>
              <w:pStyle w:val="null3"/>
              <w:ind w:firstLine="400"/>
            </w:pPr>
            <w:r>
              <w:rPr>
                <w:rFonts w:ascii="仿宋_GB2312" w:hAnsi="仿宋_GB2312" w:cs="仿宋_GB2312" w:eastAsia="仿宋_GB2312"/>
              </w:rPr>
              <w:t>最终形成西安市市建32处水情监测站点实测大断面成果图、表，西安市市建32处水情监测站点实测流量成果表，西安市市建32处水情监测站点水位—流量关系成果图、表，西安市市建32处水情监测站点防汛特征值及洪水预警指标汇总表及《西安市市建水情监测站点防汛特征值及洪水预警指标复核项目技术报告》。提交电子文档及纸质文档，作为最终成果。</w:t>
            </w:r>
          </w:p>
          <w:p>
            <w:pPr>
              <w:pStyle w:val="null3"/>
              <w:ind w:firstLine="400"/>
            </w:pPr>
            <w:r>
              <w:rPr>
                <w:rFonts w:ascii="仿宋_GB2312" w:hAnsi="仿宋_GB2312" w:cs="仿宋_GB2312" w:eastAsia="仿宋_GB2312"/>
              </w:rPr>
              <w:t>成果提交份数：电子文档1份，纸质文档10份。（具体以合同签订份数为准）</w:t>
            </w:r>
          </w:p>
          <w:p>
            <w:pPr>
              <w:pStyle w:val="null3"/>
              <w:ind w:firstLine="400"/>
            </w:pPr>
            <w:r>
              <w:rPr>
                <w:rFonts w:ascii="仿宋_GB2312" w:hAnsi="仿宋_GB2312" w:cs="仿宋_GB2312" w:eastAsia="仿宋_GB2312"/>
                <w:b/>
              </w:rPr>
              <w:t>2、成果要求</w:t>
            </w:r>
          </w:p>
          <w:p>
            <w:pPr>
              <w:pStyle w:val="null3"/>
              <w:ind w:firstLine="400"/>
            </w:pPr>
            <w:r>
              <w:rPr>
                <w:rFonts w:ascii="仿宋_GB2312" w:hAnsi="仿宋_GB2312" w:cs="仿宋_GB2312" w:eastAsia="仿宋_GB2312"/>
              </w:rPr>
              <w:t>（1）所有成果文档都包含纸质和电子文档。其中纸质文档应由提交单位签字盖章，电子文档格式为pdf格式，题名、内容、版面格式应与纸质文件完全一致。</w:t>
            </w:r>
          </w:p>
          <w:p>
            <w:pPr>
              <w:pStyle w:val="null3"/>
              <w:ind w:firstLine="400"/>
            </w:pPr>
            <w:r>
              <w:rPr>
                <w:rFonts w:ascii="仿宋_GB2312" w:hAnsi="仿宋_GB2312" w:cs="仿宋_GB2312" w:eastAsia="仿宋_GB2312"/>
              </w:rPr>
              <w:t>（2）成果文档应符合标准要求，电子文档不应加密。</w:t>
            </w:r>
          </w:p>
          <w:p>
            <w:pPr>
              <w:pStyle w:val="null3"/>
              <w:ind w:firstLine="400"/>
            </w:pPr>
            <w:r>
              <w:rPr>
                <w:rFonts w:ascii="仿宋_GB2312" w:hAnsi="仿宋_GB2312" w:cs="仿宋_GB2312" w:eastAsia="仿宋_GB2312"/>
                <w:b/>
              </w:rPr>
              <w:t>3、成果交接</w:t>
            </w:r>
          </w:p>
          <w:p>
            <w:pPr>
              <w:pStyle w:val="null3"/>
              <w:ind w:firstLine="400"/>
            </w:pPr>
            <w:r>
              <w:rPr>
                <w:rFonts w:ascii="仿宋_GB2312" w:hAnsi="仿宋_GB2312" w:cs="仿宋_GB2312" w:eastAsia="仿宋_GB2312"/>
              </w:rPr>
              <w:t>（1）全部成果的电子文件统一采用硬盘作为数据存储的介质，且应采用双硬盘备份方式进行汇交。电子文件接收完成后，向成果提交单位返还一份硬盘，另一份留接收单位用于存档。</w:t>
            </w:r>
          </w:p>
          <w:p>
            <w:pPr>
              <w:pStyle w:val="null3"/>
              <w:ind w:firstLine="400"/>
            </w:pPr>
            <w:r>
              <w:rPr>
                <w:rFonts w:ascii="仿宋_GB2312" w:hAnsi="仿宋_GB2312" w:cs="仿宋_GB2312" w:eastAsia="仿宋_GB2312"/>
              </w:rPr>
              <w:t>（2）采购人负责对汇交的成果资料清点检查，确认数量、内容等符合要求后，双方填写《成果资料汇交交接单》，手写签名，盖单位公章各存一份，完成交接工作。</w:t>
            </w:r>
          </w:p>
          <w:p>
            <w:pPr>
              <w:pStyle w:val="null3"/>
              <w:ind w:firstLine="400"/>
            </w:pPr>
            <w:r>
              <w:rPr>
                <w:rFonts w:ascii="仿宋_GB2312" w:hAnsi="仿宋_GB2312" w:cs="仿宋_GB2312" w:eastAsia="仿宋_GB2312"/>
                <w:b/>
              </w:rPr>
              <w:t>四、商务要求</w:t>
            </w:r>
          </w:p>
          <w:p>
            <w:pPr>
              <w:pStyle w:val="null3"/>
              <w:ind w:firstLine="400"/>
            </w:pPr>
            <w:r>
              <w:rPr>
                <w:rFonts w:ascii="仿宋_GB2312" w:hAnsi="仿宋_GB2312" w:cs="仿宋_GB2312" w:eastAsia="仿宋_GB2312"/>
              </w:rPr>
              <w:t>（一）服务期：自合同签订之日起50日历天。</w:t>
            </w:r>
          </w:p>
          <w:p>
            <w:pPr>
              <w:pStyle w:val="null3"/>
              <w:ind w:firstLine="400"/>
            </w:pPr>
            <w:r>
              <w:rPr>
                <w:rFonts w:ascii="仿宋_GB2312" w:hAnsi="仿宋_GB2312" w:cs="仿宋_GB2312" w:eastAsia="仿宋_GB2312"/>
              </w:rPr>
              <w:t>（二）服务地点：西安市范围内，具体以32处市建水情监测站点的分布位置为准。</w:t>
            </w:r>
          </w:p>
          <w:p>
            <w:pPr>
              <w:pStyle w:val="null3"/>
            </w:pPr>
            <w:r>
              <w:rPr>
                <w:rFonts w:ascii="仿宋_GB2312" w:hAnsi="仿宋_GB2312" w:cs="仿宋_GB2312" w:eastAsia="仿宋_GB2312"/>
                <w:sz w:val="21"/>
              </w:rPr>
              <w:t xml:space="preserve">    （三）服务标准：符合国家相关标准、行业标准、地方标准或者其他标准、规范。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西安市范围内，具体以32处市建水情监测站点的分布位置为准。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合同签订后本年度资金下达后30日内支付至本年度下达资金的100%，完成合同约定的所有工作，并提交成果资料经验收合格后待下年度资金下达后30日内支付合同剩余价款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七章“拟签订采购合同文本”中体现的内容为准。（3）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提供具有审计资质单位出具的2024或2025年度经审计的财务报告，成立时间至提交投标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投标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投标人未被列入“失信被执行人”、“重大税收违法失信主体”和“政府采购严重违法失信行为记录名单”。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自提交投标文件的截止之日起不少于90个日历日。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内容至少包括①总体理解及背景分析；②重难点分析及解决措施等。 评审标准：总体理解及认识各部分内容全面详细、阐述条理清晰详尽、符合本项目采购需求得5分，每缺一项内容扣2.5分，评审内容有瑕疵的根据情况扣分，扣完为止。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项目技术实施方案</w:t>
            </w:r>
          </w:p>
        </w:tc>
        <w:tc>
          <w:tcPr>
            <w:tcW w:type="dxa" w:w="2492"/>
          </w:tcPr>
          <w:p>
            <w:pPr>
              <w:pStyle w:val="null3"/>
            </w:pPr>
            <w:r>
              <w:rPr>
                <w:rFonts w:ascii="仿宋_GB2312" w:hAnsi="仿宋_GB2312" w:cs="仿宋_GB2312" w:eastAsia="仿宋_GB2312"/>
              </w:rPr>
              <w:t>内容至少包括①调查测量方案（基础资料调查收集、断面勘查测量）；②水文分析计算方案；③水位-流量关系曲线率定方案；④洪水特征值分析方案；⑤预警指标计算方案；⑥视频监控建设方案；⑦成果整理及汇总方案等。 评审标准：项目技术实施方案各部分内容全面详细、阐述条理清晰详尽、符合本项目采购需求得35分，每缺一项内容扣5分，评审内容有瑕疵的根据情况扣分，扣完为止。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内容至少包括①项目进度保障措施；②质量保障措施；③成果保障措施（档案资料管理）；④安全保障措施；⑤风险管理措施；⑥保密措施等。 评审标准：服务保障措施各部分内容全面详细、阐述条理清晰详尽、符合本项目采购需求得12分，每缺一项内容扣2分，评审内容有瑕疵的根据情况扣分，扣完为止。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拟投入项目人员配备方案-项目团队配置</w:t>
            </w:r>
          </w:p>
        </w:tc>
        <w:tc>
          <w:tcPr>
            <w:tcW w:type="dxa" w:w="2492"/>
          </w:tcPr>
          <w:p>
            <w:pPr>
              <w:pStyle w:val="null3"/>
            </w:pPr>
            <w:r>
              <w:rPr>
                <w:rFonts w:ascii="仿宋_GB2312" w:hAnsi="仿宋_GB2312" w:cs="仿宋_GB2312" w:eastAsia="仿宋_GB2312"/>
              </w:rPr>
              <w:t>内容至少包括①项目人团配置明细（不少于8人）；②岗位分工及职责；③配置人员工作经验等。 评审标准：项目团队配置各部分内容全面详细、阐述条理清晰详尽、符合本项目采购需求得6分，每缺一项内容扣2分，评审内容有瑕疵的根据情况扣分，扣完为止。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拟投入项目人员配备方案-人员技术职称</w:t>
            </w:r>
          </w:p>
        </w:tc>
        <w:tc>
          <w:tcPr>
            <w:tcW w:type="dxa" w:w="2492"/>
          </w:tcPr>
          <w:p>
            <w:pPr>
              <w:pStyle w:val="null3"/>
            </w:pPr>
            <w:r>
              <w:rPr>
                <w:rFonts w:ascii="仿宋_GB2312" w:hAnsi="仿宋_GB2312" w:cs="仿宋_GB2312" w:eastAsia="仿宋_GB2312"/>
              </w:rPr>
              <w:t>①项目负责人 项目负责人需具有水利行业高级及以上职称得2分，中级得1分。 ②技术负责人 技术负责人需具有水利行业高级及以上职称得2分，中级得1分。 ③项目团队成员（不包含项目负责人及技术负责人） 不得少于6人，每提供一名成员具有水利行业中级及以上职称的得1分，最高得6分。 注：以上项目配备人员需为本单位人员，项目负责人、技术负责人及项目团队人员需提供开标前6个月任意时间段缴纳社保的证明材料或退休证明及返聘协议。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内容至少包括①设备清单（名称、数量、规格型号技术参数等）；②设备性能及用途；③设备来源渠道证明（购买或租赁）。 评审标准：拟投入仪器设备配备方案各部分内容全面详细、阐述条理清晰详尽、符合本项目采购需求得6分，每缺一项内容扣2分，评审内容有瑕疵的根据情况扣分，扣完为止。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内容至少包括①应急响应安排及措施；②应急演练方案；③应急常识宣传等。 评审标准：突发事件应急预案各部分内容全面详细、阐述条理清晰详尽、符合本项目采购需求得6分，每缺一项内容扣2分，评审内容有瑕疵的根据情况扣分，扣完为止。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投标人提供2021年04月01日至今（以合同签订时间为准）的水利行业类似项目业绩，每提供一份得2分，满分10分。 注：投标文件中提供合同复印件加盖投标人公章。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