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版本号：HZ-L2026002C20260402001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诉讼服务中心业务用房租赁项目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HZ-L2026002C</w:t>
      </w:r>
      <w:r>
        <w:br/>
      </w:r>
      <w:r>
        <w:br/>
      </w:r>
      <w:r>
        <w:br/>
      </w:r>
    </w:p>
    <w:p>
      <w:pPr>
        <w:pStyle w:val="null3"/>
        <w:jc w:val="center"/>
        <w:outlineLvl w:val="5"/>
      </w:pPr>
      <w:r>
        <w:rPr>
          <w:rFonts w:ascii="仿宋_GB2312" w:hAnsi="仿宋_GB2312" w:cs="仿宋_GB2312" w:eastAsia="仿宋_GB2312"/>
          <w:sz w:val="15"/>
          <w:b/>
        </w:rPr>
        <w:t>西安市莲湖区人民法院[155]</w:t>
      </w:r>
    </w:p>
    <w:p>
      <w:pPr>
        <w:pStyle w:val="null3"/>
        <w:jc w:val="center"/>
        <w:outlineLvl w:val="5"/>
      </w:pPr>
      <w:r>
        <w:rPr>
          <w:rFonts w:ascii="仿宋_GB2312" w:hAnsi="仿宋_GB2312" w:cs="仿宋_GB2312" w:eastAsia="仿宋_GB2312"/>
          <w:sz w:val="15"/>
          <w:b/>
        </w:rPr>
        <w:t>陕西汉正项目管理有限公司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诉讼服务中心业务用房租赁项目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HZ-L2026002C</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诉讼服务中心业务用房租赁项目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西安市莲湖区人民法院诉讼服务中心业务用房租赁项目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采购包1（西安市莲湖区人民法院诉讼服务中心业务用房租赁项目）：属于专门面向中小企业采购。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协商全过程：供应商应授权合法的人员参加协商全过程，法定代表人授权代表参加协商的，须出具法定代表人授权委托书：法定代表人授权委托书（附法定代表人身份证复印件及被授权人身份证复印件）；法定代表人直接参加协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2、信用状况：供应商不得为“信用中国”、“中国政府采购网”、“中国执行信息公开网”中被列入重大税收违法失信主体名单、政府采购严重违法失信行为记录名单、失信被执行人名单的供应商。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4、财务状况：供应商需提供以下三种资料中的任意一种： 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p>
      <w:pPr>
        <w:pStyle w:val="null3"/>
      </w:pPr>
      <w:r>
        <w:rPr>
          <w:rFonts w:ascii="仿宋_GB2312" w:hAnsi="仿宋_GB2312" w:cs="仿宋_GB2312" w:eastAsia="仿宋_GB2312"/>
        </w:rPr>
        <w:t>5、社保缴纳证明：提供自2025年3月1日以来已缴存的任意1个月的社会保障资金缴存单据或社保机构开具的社会保险参保缴费情况证明；依法不需要缴纳社会保障资金的供应商应提供相关证明文件。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2025年3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7、提供具有履行合同所必需的设备和专业技术能力的书面承诺：提供具有履行合同所必需的设备和专业技术能力的书面承诺，加盖供应商公章。</w:t>
      </w:r>
    </w:p>
    <w:p>
      <w:pPr>
        <w:pStyle w:val="null3"/>
      </w:pPr>
      <w:r>
        <w:rPr>
          <w:rFonts w:ascii="仿宋_GB2312" w:hAnsi="仿宋_GB2312" w:cs="仿宋_GB2312" w:eastAsia="仿宋_GB2312"/>
        </w:rPr>
        <w:t>8、提供参加政府采购活动前三年内在经营活动中没有重大违法记录的书面声明：提供参加政府采购活动前三年内在经营活动中没有重大违法记录的书面声明，加盖供应商公章。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029-87619243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 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采购包1：2,115,000.00元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采购包1：2,115,000.00元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展改革委办公厅颁发的《关于招标代理服务收费有关问题的通知》（发改办价格〔2003〕857号）文件规定标准收取。具体收费金额将在成交公告中予以公布。 招标代理服务费缴纳账户：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（1）单一来源文件、单一来源响应文件、澄清表（函）；（2）合同及附件文本；（3）合同签订时国家及行业现行的标准和技术规范。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西安市莲湖区人民法院诉讼服务中心业务用房租赁项目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2,115,000.00</w:t>
      </w:r>
    </w:p>
    <w:p>
      <w:pPr>
        <w:pStyle w:val="null3"/>
      </w:pPr>
      <w:r>
        <w:rPr>
          <w:rFonts w:ascii="仿宋_GB2312" w:hAnsi="仿宋_GB2312" w:cs="仿宋_GB2312" w:eastAsia="仿宋_GB2312"/>
        </w:rPr>
        <w:t>采购包最高限价（元）: 2,115,000.00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诉讼服务中心业务用房租赁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标的名称：诉讼服务中心业务用房租赁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项目概况</w:t>
            </w:r>
          </w:p>
          <w:p>
            <w:pPr>
              <w:pStyle w:val="null3"/>
              <w:jc w:val="both"/>
            </w:pPr>
            <w:r>
              <w:rPr>
                <w:rFonts w:ascii="仿宋_GB2312" w:hAnsi="仿宋_GB2312" w:cs="仿宋_GB2312" w:eastAsia="仿宋_GB2312"/>
              </w:rPr>
              <w:t>1.</w:t>
            </w:r>
            <w:r>
              <w:rPr>
                <w:rFonts w:ascii="仿宋_GB2312" w:hAnsi="仿宋_GB2312" w:cs="仿宋_GB2312" w:eastAsia="仿宋_GB2312"/>
              </w:rPr>
              <w:t>西安市莲湖区人民法院诉讼服务中心业务用房租赁项目，</w:t>
            </w:r>
            <w:r>
              <w:rPr>
                <w:rFonts w:ascii="仿宋_GB2312" w:hAnsi="仿宋_GB2312" w:cs="仿宋_GB2312" w:eastAsia="仿宋_GB2312"/>
              </w:rPr>
              <w:t>满足西安市莲湖区人民法院审判执行用房需求，原址续租办公用房。</w:t>
            </w:r>
          </w:p>
          <w:p>
            <w:pPr>
              <w:pStyle w:val="null3"/>
              <w:jc w:val="both"/>
            </w:pPr>
            <w:r>
              <w:rPr>
                <w:rFonts w:ascii="仿宋_GB2312" w:hAnsi="仿宋_GB2312" w:cs="仿宋_GB2312" w:eastAsia="仿宋_GB2312"/>
              </w:rPr>
              <w:t>2.出租房屋位于西安市莲湖区西大街平安大厦3层（建筑面积2350m</w:t>
            </w:r>
            <w:r>
              <w:rPr>
                <w:rFonts w:ascii="仿宋_GB2312" w:hAnsi="仿宋_GB2312" w:cs="仿宋_GB2312" w:eastAsia="仿宋_GB2312"/>
                <w:vertAlign w:val="superscript"/>
              </w:rPr>
              <w:t>2</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服务要求</w:t>
            </w:r>
          </w:p>
          <w:p>
            <w:pPr>
              <w:pStyle w:val="null3"/>
              <w:jc w:val="both"/>
            </w:pPr>
            <w:r>
              <w:rPr>
                <w:rFonts w:ascii="仿宋_GB2312" w:hAnsi="仿宋_GB2312" w:cs="仿宋_GB2312" w:eastAsia="仿宋_GB2312"/>
              </w:rPr>
              <w:t>1.应保证按合同约定时间提供房屋租赁，且供应商必须保证拥有该房屋合法出租权</w:t>
            </w:r>
            <w:r>
              <w:rPr>
                <w:rFonts w:ascii="仿宋_GB2312" w:hAnsi="仿宋_GB2312" w:cs="仿宋_GB2312" w:eastAsia="仿宋_GB2312"/>
              </w:rPr>
              <w:t>（</w:t>
            </w:r>
            <w:r>
              <w:rPr>
                <w:rFonts w:ascii="仿宋_GB2312" w:hAnsi="仿宋_GB2312" w:cs="仿宋_GB2312" w:eastAsia="仿宋_GB2312"/>
              </w:rPr>
              <w:t>提供相应证明资料</w:t>
            </w:r>
            <w:r>
              <w:rPr>
                <w:rFonts w:ascii="仿宋_GB2312" w:hAnsi="仿宋_GB2312" w:cs="仿宋_GB2312" w:eastAsia="仿宋_GB2312"/>
              </w:rPr>
              <w:t>）</w:t>
            </w:r>
            <w:r>
              <w:rPr>
                <w:rFonts w:ascii="仿宋_GB2312" w:hAnsi="仿宋_GB2312" w:cs="仿宋_GB2312" w:eastAsia="仿宋_GB2312"/>
              </w:rPr>
              <w:t>。</w:t>
            </w:r>
          </w:p>
          <w:p>
            <w:pPr>
              <w:pStyle w:val="null3"/>
              <w:jc w:val="both"/>
            </w:pPr>
            <w:r>
              <w:rPr>
                <w:rFonts w:ascii="仿宋_GB2312" w:hAnsi="仿宋_GB2312" w:cs="仿宋_GB2312" w:eastAsia="仿宋_GB2312"/>
              </w:rPr>
              <w:t>2.须保证该房屋权属真实无争议，且房屋财产的共有人对出售、租赁无异议，房屋不存在抵押、查封等可能影响</w:t>
            </w:r>
            <w:r>
              <w:rPr>
                <w:rFonts w:ascii="仿宋_GB2312" w:hAnsi="仿宋_GB2312" w:cs="仿宋_GB2312" w:eastAsia="仿宋_GB2312"/>
              </w:rPr>
              <w:t>西安市莲湖区人民法院</w:t>
            </w:r>
            <w:r>
              <w:rPr>
                <w:rFonts w:ascii="仿宋_GB2312" w:hAnsi="仿宋_GB2312" w:cs="仿宋_GB2312" w:eastAsia="仿宋_GB2312"/>
              </w:rPr>
              <w:t>使用的情形。</w:t>
            </w:r>
            <w:r>
              <w:rPr>
                <w:rFonts w:ascii="仿宋_GB2312" w:hAnsi="仿宋_GB2312" w:cs="仿宋_GB2312" w:eastAsia="仿宋_GB2312"/>
              </w:rPr>
              <w:t>（</w:t>
            </w:r>
            <w:r>
              <w:rPr>
                <w:rFonts w:ascii="仿宋_GB2312" w:hAnsi="仿宋_GB2312" w:cs="仿宋_GB2312" w:eastAsia="仿宋_GB2312"/>
              </w:rPr>
              <w:t>提供承诺函</w:t>
            </w:r>
            <w:r>
              <w:rPr>
                <w:rFonts w:ascii="仿宋_GB2312" w:hAnsi="仿宋_GB2312" w:cs="仿宋_GB2312" w:eastAsia="仿宋_GB2312"/>
              </w:rPr>
              <w:t>）</w:t>
            </w:r>
          </w:p>
          <w:p>
            <w:pPr>
              <w:pStyle w:val="null3"/>
            </w:pPr>
            <w:r>
              <w:rPr>
                <w:rFonts w:ascii="仿宋_GB2312" w:hAnsi="仿宋_GB2312" w:cs="仿宋_GB2312" w:eastAsia="仿宋_GB2312"/>
                <w:sz w:val="21"/>
              </w:rPr>
              <w:t>3.应确保出租的房屋符合建筑结构，设施设备符合建筑、消防、治安、卫生、环保、安全等使用要求。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一年，具体时间以合同约定为准。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其他事项：（1）验收合格后，填写政府采购项目验收单作为对本服务的最终认可。（2）供应商向采购人提供服务过程中的所有资料,以便采购人日后管理。（3）验收依据：①单一来源采购文件、单一来源采购响应文件、澄清表（函）； ②本合同及附件文本；③国家相应的标准、规范。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1.本项目采购预算为房屋租金。租赁期内，物业费、空调费、垃圾清运费等另行结算，不计入租金预算。 2.成交供应商在采购结果发布后3个工作日内向代理机构提交纸质版响应文件以便于存档，响应文件正本1份，副本2份，电子版文件2份（以U盘为载体，电子版内容为签字盖章扫描后的PDF版本响应文件且与系统上传响应文件一致）。纸质响应文件均须A4纸打印，分别各自装订成册并编制目录和页码。 3.线下递交响应文件地点：西安市雁塔区科技二路71号竹园·天寰国际1706室。 4.根据《陕西省财政厅关于进一步优化政府采购营商环境有关事项的通知》(陕财办采(2024)9号)及西安市财政局《西安市预算单位政府采购主体责任清单》要求，采购人要强化内部控制，进一步压缩采购合同签订周期，在中标(成交)通知书发出之日25日内，按照采购文件确定的事项与中标(成交)供应商签订采购合同。 4.如采购文件中融资相关内容与新政策要求有出入，按照最新要求执行。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供应商应授权合法的人员参加协商全过程</w:t>
            </w:r>
          </w:p>
        </w:tc>
        <w:tc>
          <w:tcPr>
            <w:tcW w:type="dxa" w:w="3322"/>
          </w:tcPr>
          <w:p>
            <w:pPr>
              <w:pStyle w:val="null3"/>
            </w:pPr>
            <w:r>
              <w:rPr>
                <w:rFonts w:ascii="仿宋_GB2312" w:hAnsi="仿宋_GB2312" w:cs="仿宋_GB2312" w:eastAsia="仿宋_GB2312"/>
              </w:rPr>
              <w:t>供应商应授权合法的人员参加协商全过程，法定代表人授权代表参加协商的，须出具法定代表人授权委托书：法定代表人授权委托书（附法定代表人身份证复印件及被授权人身份证复印件）；法定代表人直接参加协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供应商不得为“信用中国”、“中国政府采购网”、“中国执行信息公开网”中被列入重大税收违法失信主体名单、政府采购严重违法失信行为记录名单、失信被执行人名单的供应商。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供应商需提供以下三种资料中的任意一种： 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 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提供自2025年3月1日以来已缴存的任意1个月的社会保障资金缴存单据或社保机构开具的社会保险参保缴费情况证明；依法不需要缴纳社会保障资金的供应商应提供相关证明文件。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提供自2025年3月1日以来已缴纳的任意1个月的依法缴纳税收的相关凭据(时间以税款所属日期为准)，凭据应有税务机关或代收机关的公章或业务专用章；依法免税或无须缴纳税收的供应商，应提供相应证明文件。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w:t>
            </w:r>
          </w:p>
        </w:tc>
        <w:tc>
          <w:tcPr>
            <w:tcW w:type="dxa" w:w="1661"/>
          </w:tcPr>
          <w:p>
            <w:pPr>
              <w:pStyle w:val="null3"/>
            </w:pPr>
            <w:r>
              <w:rPr>
                <w:rFonts w:ascii="仿宋_GB2312" w:hAnsi="仿宋_GB2312" w:cs="仿宋_GB2312" w:eastAsia="仿宋_GB2312"/>
              </w:rPr>
              <w:t>一般资格要求及特殊资格要求.docx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中小企业声明函 商务要求应答表.docx 报价表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符合采购文件的格式要求无重大偏离</w:t>
            </w:r>
          </w:p>
        </w:tc>
        <w:tc>
          <w:tcPr>
            <w:tcW w:type="dxa" w:w="1661"/>
          </w:tcPr>
          <w:p>
            <w:pPr>
              <w:pStyle w:val="null3"/>
            </w:pPr>
            <w:r>
              <w:rPr>
                <w:rFonts w:ascii="仿宋_GB2312" w:hAnsi="仿宋_GB2312" w:cs="仿宋_GB2312" w:eastAsia="仿宋_GB2312"/>
              </w:rPr>
              <w:t>中小企业声明函 商务要求应答表.docx 报价表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2.要求全面响应采购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中小企业声明函 商务要求应答表.docx 报价表 其他材料及供应商认为有必要说明、阐述的事项.docx 响应文件封面 一般资格要求及特殊资格要求.docx 残疾人福利性单位声明函 标的清单 服务内容及服务要求应答表.docx 响应函 陕西省政府采购供应商拒绝政府采购领域商业贿赂承诺书.docx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详见附件：一般资格要求及特殊资格要求.docx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详见附件：政府采购房屋租赁合同-示范文本.docx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