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75F01">
      <w:pPr>
        <w:spacing w:line="360" w:lineRule="auto"/>
        <w:ind w:firstLine="480" w:firstLineChars="200"/>
        <w:rPr>
          <w:rFonts w:hint="eastAsia" w:asciiTheme="minorEastAsia" w:hAnsiTheme="minorEastAsia" w:eastAsiaTheme="minorEastAsia" w:cstheme="minorEastAsia"/>
          <w:b w:val="0"/>
          <w:bCs w:val="0"/>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b w:val="0"/>
          <w:bCs w:val="0"/>
          <w:i w:val="0"/>
          <w:iCs w:val="0"/>
          <w:caps w:val="0"/>
          <w:color w:val="auto"/>
          <w:spacing w:val="0"/>
          <w:kern w:val="0"/>
          <w:sz w:val="24"/>
          <w:szCs w:val="24"/>
          <w:shd w:val="clear" w:fill="FFFFFF"/>
          <w:lang w:val="en-US" w:eastAsia="zh-CN" w:bidi="ar"/>
        </w:rPr>
        <w:t>供应商根据下列资格要求按序提供资格证明文件，本节提供部分格式，格式之外的自行编辑。</w:t>
      </w:r>
    </w:p>
    <w:p w14:paraId="1FBBCA04">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30B5E889">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一般</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0" w:firstLineChars="0"/>
        <w:textAlignment w:val="auto"/>
        <w:outlineLvl w:val="0"/>
        <w:rPr>
          <w:rFonts w:hint="eastAsia" w:asciiTheme="minorEastAsia" w:hAnsiTheme="minorEastAsia" w:eastAsiaTheme="minorEastAsia" w:cstheme="minorEastAsia"/>
          <w:b w:val="0"/>
          <w:bCs w:val="0"/>
          <w:sz w:val="36"/>
          <w:szCs w:val="36"/>
          <w:lang w:val="en-US" w:eastAsia="zh-CN"/>
        </w:rPr>
      </w:pPr>
    </w:p>
    <w:p w14:paraId="2152ACA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1.</w:t>
      </w:r>
      <w:r>
        <w:rPr>
          <w:rFonts w:hint="eastAsia" w:asciiTheme="minorEastAsia" w:hAnsiTheme="minorEastAsia" w:eastAsiaTheme="minorEastAsia" w:cstheme="minorEastAsia"/>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25CB93B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2.</w:t>
      </w:r>
      <w:r>
        <w:rPr>
          <w:rFonts w:hint="eastAsia" w:asciiTheme="minorEastAsia" w:hAnsiTheme="minorEastAsia" w:eastAsiaTheme="minorEastAsia" w:cstheme="minorEastAsia"/>
          <w:b w:val="0"/>
          <w:bCs w:val="0"/>
          <w:i w:val="0"/>
          <w:iCs w:val="0"/>
          <w:caps w:val="0"/>
          <w:color w:val="auto"/>
          <w:spacing w:val="0"/>
          <w:shd w:val="clear" w:fill="FFFFFF"/>
        </w:rPr>
        <w:t>财务状况：</w:t>
      </w:r>
    </w:p>
    <w:p w14:paraId="26F5F57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供应商需提供以下三种资料中的任意一种：</w:t>
      </w:r>
    </w:p>
    <w:p w14:paraId="1CBE105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①2024或2025年度经审计的完整财务报告，供应商提供的财务审计报告应当赋码，可通过注册会计师行业统一监管平台(http://acc.mof.gov.cn)进行查验；</w:t>
      </w:r>
    </w:p>
    <w:p w14:paraId="745E6B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②响应文件递交截止时间前三个月内其基本开户银行出具的资信证明；</w:t>
      </w:r>
    </w:p>
    <w:p w14:paraId="22ABA71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③财政部门认可的政府采购专业担保机构出具的投标担保函。</w:t>
      </w:r>
    </w:p>
    <w:p w14:paraId="33417B4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14:paraId="7533FE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4.</w:t>
      </w:r>
      <w:r>
        <w:rPr>
          <w:rFonts w:hint="eastAsia" w:asciiTheme="minorEastAsia" w:hAnsiTheme="minorEastAsia" w:eastAsiaTheme="minorEastAsia" w:cstheme="minorEastAsia"/>
          <w:b w:val="0"/>
          <w:bCs w:val="0"/>
          <w:i w:val="0"/>
          <w:iCs w:val="0"/>
          <w:caps w:val="0"/>
          <w:color w:val="auto"/>
          <w:spacing w:val="0"/>
          <w:shd w:val="clear" w:fill="FFFFFF"/>
        </w:rPr>
        <w:t>税收缴纳证明：提供自</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202</w:t>
      </w: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年</w:t>
      </w:r>
      <w:r>
        <w:rPr>
          <w:rFonts w:hint="eastAsia" w:asciiTheme="minorEastAsia" w:hAnsiTheme="minorEastAsia" w:cstheme="minorEastAsia"/>
          <w:b w:val="0"/>
          <w:bCs w:val="0"/>
          <w:i w:val="0"/>
          <w:iCs w:val="0"/>
          <w:caps w:val="0"/>
          <w:color w:val="auto"/>
          <w:spacing w:val="0"/>
          <w:shd w:val="clear" w:fill="FFFFFF"/>
          <w:lang w:val="en-US" w:eastAsia="zh-CN"/>
        </w:rPr>
        <w:t>3</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月1日</w:t>
      </w:r>
      <w:r>
        <w:rPr>
          <w:rFonts w:hint="eastAsia" w:asciiTheme="minorEastAsia" w:hAnsiTheme="minorEastAsia" w:eastAsiaTheme="minorEastAsia" w:cstheme="minorEastAsia"/>
          <w:b w:val="0"/>
          <w:bCs w:val="0"/>
          <w:i w:val="0"/>
          <w:iCs w:val="0"/>
          <w:caps w:val="0"/>
          <w:color w:val="auto"/>
          <w:spacing w:val="0"/>
          <w:shd w:val="clear" w:fill="FFFFFF"/>
        </w:rPr>
        <w:t>以来已缴纳的任意1个月的依法缴纳税收的相关凭据(时间以税款所属日期为准)，凭据应有税务机关或代收机关的公章或业务专用章；依法免税或无须缴纳税收的供应商，应提供相应证明文件。</w:t>
      </w:r>
    </w:p>
    <w:p w14:paraId="1F48B5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社保缴纳证明：提供自202</w:t>
      </w: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年</w:t>
      </w:r>
      <w:r>
        <w:rPr>
          <w:rFonts w:hint="eastAsia" w:asciiTheme="minorEastAsia" w:hAnsiTheme="minorEastAsia" w:cstheme="minorEastAsia"/>
          <w:b w:val="0"/>
          <w:bCs w:val="0"/>
          <w:i w:val="0"/>
          <w:iCs w:val="0"/>
          <w:caps w:val="0"/>
          <w:color w:val="auto"/>
          <w:spacing w:val="0"/>
          <w:shd w:val="clear" w:fill="FFFFFF"/>
          <w:lang w:val="en-US" w:eastAsia="zh-CN"/>
        </w:rPr>
        <w:t>3</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 xml:space="preserve">月1日以来已缴存的任意1个月的社会保障资金缴存单据或社保机构开具的社会保险参保缴费情况证明；依法不需要缴纳社会保障资金的供应商应提供相关证明文件。  </w:t>
      </w:r>
      <w:r>
        <w:rPr>
          <w:rFonts w:hint="eastAsia" w:asciiTheme="minorEastAsia" w:hAnsiTheme="minorEastAsia" w:cstheme="minorEastAsia"/>
          <w:b w:val="0"/>
          <w:bCs w:val="0"/>
          <w:i w:val="0"/>
          <w:iCs w:val="0"/>
          <w:caps w:val="0"/>
          <w:color w:val="auto"/>
          <w:spacing w:val="0"/>
          <w:shd w:val="clear" w:fill="FFFFFF"/>
          <w:lang w:val="en-US" w:eastAsia="zh-CN"/>
        </w:rPr>
        <w:t xml:space="preserve">    </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 xml:space="preserve">                 </w:t>
      </w:r>
    </w:p>
    <w:p w14:paraId="200B63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cstheme="minorEastAsia"/>
          <w:b w:val="0"/>
          <w:bCs w:val="0"/>
          <w:i w:val="0"/>
          <w:iCs w:val="0"/>
          <w:caps w:val="0"/>
          <w:color w:val="auto"/>
          <w:spacing w:val="0"/>
          <w:shd w:val="clear" w:fill="FFFFFF"/>
          <w:lang w:val="en-US" w:eastAsia="zh-CN"/>
        </w:rPr>
        <w:t>6</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w:t>
      </w:r>
      <w:r>
        <w:rPr>
          <w:rFonts w:hint="eastAsia" w:asciiTheme="minorEastAsia" w:hAnsiTheme="minorEastAsia" w:cstheme="minorEastAsia"/>
          <w:b w:val="0"/>
          <w:bCs w:val="0"/>
          <w:i w:val="0"/>
          <w:iCs w:val="0"/>
          <w:caps w:val="0"/>
          <w:color w:val="auto"/>
          <w:spacing w:val="0"/>
          <w:shd w:val="clear" w:fill="FFFFFF"/>
          <w:lang w:val="en-US" w:eastAsia="zh-CN"/>
        </w:rPr>
        <w:t>提供</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具有履行合同所必需的设备和专业技术能力的书面承诺</w:t>
      </w:r>
      <w:r>
        <w:rPr>
          <w:rFonts w:hint="eastAsia" w:asciiTheme="minorEastAsia" w:hAnsiTheme="minorEastAsia" w:cstheme="minorEastAsia"/>
          <w:b w:val="0"/>
          <w:bCs w:val="0"/>
          <w:i w:val="0"/>
          <w:iCs w:val="0"/>
          <w:caps w:val="0"/>
          <w:color w:val="auto"/>
          <w:spacing w:val="0"/>
          <w:shd w:val="clear" w:fill="FFFFFF"/>
          <w:lang w:val="en-US" w:eastAsia="zh-CN"/>
        </w:rPr>
        <w:t>，</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加盖供应商公章。</w:t>
      </w:r>
      <w:r>
        <w:rPr>
          <w:rFonts w:hint="eastAsia" w:asciiTheme="minorEastAsia" w:hAnsiTheme="minorEastAsia" w:cstheme="minorEastAsia"/>
          <w:b w:val="0"/>
          <w:bCs w:val="0"/>
          <w:i w:val="0"/>
          <w:iCs w:val="0"/>
          <w:caps w:val="0"/>
          <w:color w:val="auto"/>
          <w:spacing w:val="0"/>
          <w:shd w:val="clear" w:fill="FFFFFF"/>
          <w:lang w:val="en-US" w:eastAsia="zh-CN"/>
        </w:rPr>
        <w:t>（见格式1）</w:t>
      </w:r>
    </w:p>
    <w:p w14:paraId="58435B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lang w:eastAsia="zh-CN"/>
        </w:rPr>
      </w:pPr>
      <w:r>
        <w:rPr>
          <w:rFonts w:hint="eastAsia" w:asciiTheme="minorEastAsia" w:hAnsiTheme="minorEastAsia" w:cstheme="minorEastAsia"/>
          <w:b w:val="0"/>
          <w:bCs w:val="0"/>
          <w:i w:val="0"/>
          <w:iCs w:val="0"/>
          <w:caps w:val="0"/>
          <w:color w:val="auto"/>
          <w:spacing w:val="0"/>
          <w:shd w:val="clear" w:fill="FFFFFF"/>
          <w:lang w:val="en-US" w:eastAsia="zh-CN"/>
        </w:rPr>
        <w:t>7</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w:t>
      </w:r>
      <w:r>
        <w:rPr>
          <w:rFonts w:hint="eastAsia" w:asciiTheme="minorEastAsia" w:hAnsiTheme="minorEastAsia" w:eastAsiaTheme="minorEastAsia" w:cstheme="minorEastAsia"/>
          <w:b w:val="0"/>
          <w:bCs w:val="0"/>
          <w:i w:val="0"/>
          <w:iCs w:val="0"/>
          <w:caps w:val="0"/>
          <w:color w:val="auto"/>
          <w:spacing w:val="0"/>
          <w:shd w:val="clear" w:fill="FFFFFF"/>
        </w:rPr>
        <w:t>提供参加政府采购活动前三年内在经营活动中没有重大违法记录的书面声明，加盖供应商公章。</w:t>
      </w:r>
      <w:r>
        <w:rPr>
          <w:rFonts w:hint="eastAsia" w:asciiTheme="minorEastAsia" w:hAnsiTheme="minorEastAsia" w:cstheme="minorEastAsia"/>
          <w:b w:val="0"/>
          <w:bCs w:val="0"/>
          <w:i w:val="0"/>
          <w:iCs w:val="0"/>
          <w:caps w:val="0"/>
          <w:color w:val="auto"/>
          <w:spacing w:val="0"/>
          <w:shd w:val="clear" w:fill="FFFFFF"/>
          <w:lang w:eastAsia="zh-CN"/>
        </w:rPr>
        <w:t>（</w:t>
      </w:r>
      <w:r>
        <w:rPr>
          <w:rFonts w:hint="eastAsia" w:asciiTheme="minorEastAsia" w:hAnsiTheme="minorEastAsia" w:cstheme="minorEastAsia"/>
          <w:b w:val="0"/>
          <w:bCs w:val="0"/>
          <w:i w:val="0"/>
          <w:iCs w:val="0"/>
          <w:caps w:val="0"/>
          <w:color w:val="auto"/>
          <w:spacing w:val="0"/>
          <w:shd w:val="clear" w:fill="FFFFFF"/>
          <w:lang w:val="en-US" w:eastAsia="zh-CN"/>
        </w:rPr>
        <w:t xml:space="preserve">见格式2 </w:t>
      </w:r>
      <w:r>
        <w:rPr>
          <w:rFonts w:hint="eastAsia" w:asciiTheme="minorEastAsia" w:hAnsiTheme="minorEastAsia" w:cstheme="minorEastAsia"/>
          <w:b w:val="0"/>
          <w:bCs w:val="0"/>
          <w:i w:val="0"/>
          <w:iCs w:val="0"/>
          <w:caps w:val="0"/>
          <w:color w:val="auto"/>
          <w:spacing w:val="0"/>
          <w:shd w:val="clear" w:fill="FFFFFF"/>
          <w:lang w:eastAsia="zh-CN"/>
        </w:rPr>
        <w:t>）</w:t>
      </w:r>
    </w:p>
    <w:p w14:paraId="3DA65E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rPr>
        <w:br w:type="page"/>
      </w:r>
    </w:p>
    <w:p w14:paraId="7D7C6C5E">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val="en-US" w:eastAsia="zh-CN"/>
        </w:rPr>
        <w:t xml:space="preserve"> ： </w:t>
      </w:r>
    </w:p>
    <w:p w14:paraId="4B19FCB6">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30B49DC3">
      <w:pPr>
        <w:pStyle w:val="5"/>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10DCE00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1EA4CBF">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34FBF5">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2EC35591">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27DAC533">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0649E879">
      <w:pPr>
        <w:pStyle w:val="5"/>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26A0A128">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cstheme="minorEastAsia"/>
          <w:bCs/>
          <w:caps/>
          <w:sz w:val="24"/>
          <w:szCs w:val="24"/>
          <w:highlight w:val="none"/>
          <w:lang w:val="en-US" w:eastAsia="zh-CN"/>
        </w:rPr>
        <w:t>供应商</w:t>
      </w:r>
      <w:r>
        <w:rPr>
          <w:rFonts w:hint="eastAsia" w:asciiTheme="minorEastAsia" w:hAnsiTheme="minorEastAsia" w:eastAsiaTheme="minorEastAsia" w:cstheme="minorEastAsia"/>
          <w:bCs/>
          <w:caps/>
          <w:sz w:val="24"/>
          <w:szCs w:val="24"/>
          <w:highlight w:val="none"/>
        </w:rPr>
        <w:t>：</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14:paraId="1AF548D3">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14:paraId="1F4D19E0">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14:paraId="5B1C6A7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45DB4E2D">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A83044B">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F142AE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415B94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7045C4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E945AA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3B12FE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0A88C55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E39F5A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6F61769A">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val="en-US" w:eastAsia="zh-CN"/>
        </w:rPr>
        <w:t>：</w:t>
      </w:r>
    </w:p>
    <w:p w14:paraId="25E83C58">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0" w:name="_Toc29525"/>
      <w:bookmarkStart w:id="1" w:name="_Toc10698"/>
      <w:bookmarkStart w:id="2" w:name="_Toc118"/>
      <w:bookmarkStart w:id="3" w:name="_Toc6159"/>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0"/>
      <w:bookmarkStart w:id="4"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1"/>
      <w:bookmarkEnd w:id="2"/>
      <w:bookmarkEnd w:id="3"/>
      <w:bookmarkEnd w:id="4"/>
    </w:p>
    <w:p w14:paraId="55995B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59656905">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5594E00A">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）的供应商，在此郑重声明：</w:t>
      </w:r>
    </w:p>
    <w:p w14:paraId="1B389A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0103FE0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34E366C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67A3A0D4">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6347813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4C887DB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54EC871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5" w:name="_Toc19320"/>
      <w:bookmarkStart w:id="6" w:name="_Toc15217"/>
      <w:bookmarkStart w:id="7" w:name="_Toc22171"/>
      <w:bookmarkStart w:id="8" w:name="_Toc9460"/>
      <w:r>
        <w:rPr>
          <w:rFonts w:hint="eastAsia" w:asciiTheme="minorEastAsia" w:hAnsiTheme="minorEastAsia" w:eastAsiaTheme="minorEastAsia" w:cstheme="minorEastAsia"/>
          <w:sz w:val="24"/>
          <w:szCs w:val="24"/>
          <w:highlight w:val="none"/>
        </w:rPr>
        <w:t>供应商：</w:t>
      </w:r>
      <w:r>
        <w:rPr>
          <w:rFonts w:hint="eastAsia" w:asciiTheme="minorEastAsia" w:hAnsiTheme="minorEastAsia" w:eastAsiaTheme="minorEastAsia" w:cstheme="minorEastAsia"/>
          <w:sz w:val="24"/>
          <w:szCs w:val="24"/>
          <w:highlight w:val="none"/>
          <w:u w:val="single"/>
        </w:rPr>
        <w:t xml:space="preserve">         （供应商全称并加盖公章）</w:t>
      </w:r>
      <w:bookmarkEnd w:id="5"/>
      <w:bookmarkEnd w:id="6"/>
      <w:bookmarkEnd w:id="7"/>
      <w:bookmarkEnd w:id="8"/>
    </w:p>
    <w:p w14:paraId="3E5B1962">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9" w:name="_Toc19817"/>
      <w:r>
        <w:rPr>
          <w:rFonts w:hint="eastAsia" w:asciiTheme="minorEastAsia" w:hAnsiTheme="minorEastAsia" w:eastAsiaTheme="minorEastAsia" w:cstheme="minorEastAsia"/>
          <w:sz w:val="24"/>
          <w:szCs w:val="24"/>
          <w:highlight w:val="none"/>
        </w:rPr>
        <w:t>日  期：    年  月  日</w:t>
      </w:r>
      <w:bookmarkEnd w:id="9"/>
    </w:p>
    <w:p w14:paraId="0499354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6B521CC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12AE785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提示：供应商在参加政府采购活动前三年内因违法经营被禁止在一定期限内参加政府采购活动，期限届满的，可以参加政府采购活动，但应提供期限届满的证明材料。</w:t>
      </w:r>
    </w:p>
    <w:p w14:paraId="0E0DC5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rPr>
      </w:pPr>
    </w:p>
    <w:p w14:paraId="68226434">
      <w:pPr>
        <w:rPr>
          <w:rFonts w:hint="eastAsia" w:asciiTheme="minorEastAsia" w:hAnsiTheme="minorEastAsia" w:eastAsiaTheme="minorEastAsia" w:cstheme="minorEastAsia"/>
          <w:b w:val="0"/>
          <w:bCs w:val="0"/>
          <w:sz w:val="36"/>
          <w:szCs w:val="36"/>
          <w:lang w:val="en-US" w:eastAsia="zh-CN"/>
        </w:rPr>
      </w:pPr>
      <w:r>
        <w:rPr>
          <w:rFonts w:hint="eastAsia" w:asciiTheme="minorEastAsia" w:hAnsiTheme="minorEastAsia" w:eastAsiaTheme="minorEastAsia" w:cstheme="minorEastAsia"/>
          <w:b w:val="0"/>
          <w:bCs w:val="0"/>
          <w:sz w:val="36"/>
          <w:szCs w:val="36"/>
          <w:lang w:val="en-US" w:eastAsia="zh-CN"/>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特殊</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7FDC7033">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rPr>
      </w:pPr>
    </w:p>
    <w:p w14:paraId="0AB1A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i w:val="0"/>
          <w:iCs w:val="0"/>
          <w:caps w:val="0"/>
          <w:color w:val="auto"/>
          <w:spacing w:val="0"/>
        </w:rPr>
      </w:pPr>
      <w:r>
        <w:rPr>
          <w:rFonts w:hint="eastAsia" w:asciiTheme="minorEastAsia" w:hAnsiTheme="minorEastAsia" w:eastAsiaTheme="minorEastAsia" w:cstheme="minorEastAsia"/>
          <w:i w:val="0"/>
          <w:iCs w:val="0"/>
          <w:caps w:val="0"/>
          <w:color w:val="auto"/>
          <w:spacing w:val="0"/>
          <w:shd w:val="clear" w:fill="FFFFFF"/>
        </w:rPr>
        <w:t>1</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宋体" w:hAnsi="宋体" w:eastAsia="宋体" w:cs="Times New Roman"/>
          <w:szCs w:val="24"/>
          <w:lang w:val="en-US" w:eastAsia="zh-CN"/>
        </w:rPr>
        <w:t>供应商应授权合法的人员参加协商全过程，法定代表人授权代表参加协商的，须出具法定代表人授权委托书：法定代表人授权委托书（附法定代表人身份证复印件及被授权人身份证复印件）；法定代表人直接参加协商只须提供法定代表人资格证明书（附法定代表人身份证复印件）；采购文件凡是法定代表人之处，非法人单位的负责人均参照执行。（见格式3）</w:t>
      </w:r>
    </w:p>
    <w:p w14:paraId="1AA1593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Theme="minorEastAsia" w:hAnsi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shd w:val="clear" w:fill="FFFFFF"/>
        </w:rPr>
        <w:t>2</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Theme="minorEastAsia" w:hAnsiTheme="minorEastAsia" w:eastAsiaTheme="minorEastAsia" w:cstheme="minorEastAsia"/>
          <w:i w:val="0"/>
          <w:iCs w:val="0"/>
          <w:caps w:val="0"/>
          <w:color w:val="auto"/>
          <w:spacing w:val="0"/>
          <w:shd w:val="clear" w:fill="FFFFFF"/>
        </w:rPr>
        <w:t>信用证明：供应商不得为“信用中国”、“中国政府采购网”、“中国执行信息公开网”中被列入重大税收违法失信主体名单、政府采购严重违法失信行为记录名单、失信被执行人名单的供应商。</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r>
        <w:rPr>
          <w:rFonts w:hint="eastAsia" w:asciiTheme="minorEastAsia" w:hAnsiTheme="minorEastAsia" w:cstheme="minorEastAsia"/>
          <w:i w:val="0"/>
          <w:iCs w:val="0"/>
          <w:caps w:val="0"/>
          <w:color w:val="auto"/>
          <w:spacing w:val="0"/>
          <w:shd w:val="clear" w:fill="FFFFFF"/>
          <w:lang w:val="en-US" w:eastAsia="zh-CN"/>
        </w:rPr>
        <w:t>（提供截图</w:t>
      </w:r>
      <w:bookmarkStart w:id="15" w:name="_GoBack"/>
      <w:bookmarkEnd w:id="15"/>
      <w:r>
        <w:rPr>
          <w:rFonts w:hint="eastAsia" w:asciiTheme="minorEastAsia" w:hAnsiTheme="minorEastAsia" w:cstheme="minorEastAsia"/>
          <w:i w:val="0"/>
          <w:iCs w:val="0"/>
          <w:caps w:val="0"/>
          <w:color w:val="auto"/>
          <w:spacing w:val="0"/>
          <w:shd w:val="clear" w:fill="FFFFFF"/>
          <w:lang w:val="en-US" w:eastAsia="zh-CN"/>
        </w:rPr>
        <w:t>）</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r>
        <w:rPr>
          <w:rFonts w:hint="eastAsia" w:asciiTheme="minorEastAsia" w:hAnsiTheme="minorEastAsia" w:cstheme="minorEastAsia"/>
          <w:i w:val="0"/>
          <w:iCs w:val="0"/>
          <w:caps w:val="0"/>
          <w:color w:val="auto"/>
          <w:spacing w:val="0"/>
          <w:shd w:val="clear" w:fill="FFFFFF"/>
          <w:lang w:val="en-US" w:eastAsia="zh-CN"/>
        </w:rPr>
        <w:t xml:space="preserve">       </w:t>
      </w:r>
    </w:p>
    <w:p w14:paraId="309AA319">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sz w:val="24"/>
          <w:szCs w:val="24"/>
        </w:rPr>
        <w:br w:type="page"/>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lang w:val="en-US" w:eastAsia="zh-CN"/>
        </w:rPr>
        <w:t>：</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74EC47C9">
            <w:pPr>
              <w:pStyle w:val="2"/>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cstheme="minorEastAsia"/>
          <w:color w:val="auto"/>
          <w:sz w:val="24"/>
          <w:szCs w:val="24"/>
          <w:highlight w:val="none"/>
          <w:lang w:val="en-US" w:eastAsia="zh-CN"/>
        </w:rPr>
        <w:t>协商</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10" w:name="_Toc14808"/>
      <w:r>
        <w:rPr>
          <w:rFonts w:hint="eastAsia" w:asciiTheme="minorEastAsia" w:hAnsiTheme="minorEastAsia" w:eastAsiaTheme="minorEastAsia" w:cstheme="minorEastAsia"/>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本授权书自响应文件递交截止之日起计算有效起为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授权委托日期：</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cstheme="minorEastAsia"/>
          <w:color w:val="auto"/>
          <w:sz w:val="24"/>
          <w:szCs w:val="24"/>
          <w:highlight w:val="none"/>
          <w:lang w:val="en-US" w:eastAsia="zh-CN"/>
        </w:rPr>
        <w:t>协商</w:t>
      </w:r>
      <w:r>
        <w:rPr>
          <w:rFonts w:hint="eastAsia" w:asciiTheme="minorEastAsia" w:hAnsiTheme="minorEastAsia" w:eastAsiaTheme="minorEastAsia" w:cstheme="minorEastAsia"/>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cstheme="minorEastAsia"/>
          <w:sz w:val="24"/>
          <w:szCs w:val="24"/>
          <w:lang w:val="en-US" w:eastAsia="zh-CN"/>
        </w:rPr>
        <w:t>协商</w:t>
      </w:r>
      <w:r>
        <w:rPr>
          <w:rFonts w:hint="eastAsia" w:asciiTheme="minorEastAsia" w:hAnsiTheme="minorEastAsia" w:eastAsiaTheme="minorEastAsia" w:cstheme="minorEastAsia"/>
          <w:sz w:val="24"/>
          <w:szCs w:val="24"/>
          <w:lang w:val="en-US" w:eastAsia="zh-CN"/>
        </w:rPr>
        <w:t>响应文件递交截止之日起计算不得少于90日历天。</w:t>
      </w:r>
    </w:p>
    <w:p w14:paraId="77990CC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1"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1"/>
    </w:p>
    <w:p w14:paraId="7F4EF47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12" w:name="_Toc30104"/>
      <w:bookmarkStart w:id="13" w:name="_Toc27864"/>
      <w:bookmarkStart w:id="14" w:name="_Toc902"/>
    </w:p>
    <w:p w14:paraId="2A81BD9A">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bookmarkEnd w:id="12"/>
    <w:bookmarkEnd w:id="13"/>
    <w:bookmarkEnd w:id="14"/>
    <w:p w14:paraId="0CA92318">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2510197"/>
    <w:rsid w:val="026C4FD1"/>
    <w:rsid w:val="02B04EBD"/>
    <w:rsid w:val="039E68AE"/>
    <w:rsid w:val="04306FBF"/>
    <w:rsid w:val="04955E1D"/>
    <w:rsid w:val="05015EA4"/>
    <w:rsid w:val="05502988"/>
    <w:rsid w:val="072B6DAB"/>
    <w:rsid w:val="07886409"/>
    <w:rsid w:val="08E21B49"/>
    <w:rsid w:val="090D62B3"/>
    <w:rsid w:val="0AC41E4E"/>
    <w:rsid w:val="0CA23AC9"/>
    <w:rsid w:val="0F2C6214"/>
    <w:rsid w:val="10A256AE"/>
    <w:rsid w:val="13BD38DE"/>
    <w:rsid w:val="14014967"/>
    <w:rsid w:val="14D313F3"/>
    <w:rsid w:val="15C50369"/>
    <w:rsid w:val="162714E3"/>
    <w:rsid w:val="16290DB7"/>
    <w:rsid w:val="16DC7DF4"/>
    <w:rsid w:val="19CC6629"/>
    <w:rsid w:val="19DD25E4"/>
    <w:rsid w:val="1A4A39F2"/>
    <w:rsid w:val="1ABD41C4"/>
    <w:rsid w:val="1EC528F9"/>
    <w:rsid w:val="1F3C056D"/>
    <w:rsid w:val="1FBC0EEE"/>
    <w:rsid w:val="2020147D"/>
    <w:rsid w:val="21507B40"/>
    <w:rsid w:val="22851A6B"/>
    <w:rsid w:val="23362D65"/>
    <w:rsid w:val="23366CB9"/>
    <w:rsid w:val="23A83C63"/>
    <w:rsid w:val="243E55AE"/>
    <w:rsid w:val="246456B0"/>
    <w:rsid w:val="247F2569"/>
    <w:rsid w:val="26EB3E67"/>
    <w:rsid w:val="28C32885"/>
    <w:rsid w:val="29C23CC1"/>
    <w:rsid w:val="2A247DBB"/>
    <w:rsid w:val="2B0379D1"/>
    <w:rsid w:val="2B156C4B"/>
    <w:rsid w:val="2B717030"/>
    <w:rsid w:val="2BA42B91"/>
    <w:rsid w:val="2C8768C3"/>
    <w:rsid w:val="2CDA0C05"/>
    <w:rsid w:val="2D7C6927"/>
    <w:rsid w:val="2D8F379E"/>
    <w:rsid w:val="2FF71DDB"/>
    <w:rsid w:val="33574D5E"/>
    <w:rsid w:val="33E505BB"/>
    <w:rsid w:val="36323860"/>
    <w:rsid w:val="374101FF"/>
    <w:rsid w:val="37AE5168"/>
    <w:rsid w:val="37CB5DA3"/>
    <w:rsid w:val="381172C6"/>
    <w:rsid w:val="390D2DB9"/>
    <w:rsid w:val="39E04B92"/>
    <w:rsid w:val="3A056252"/>
    <w:rsid w:val="3A683CF4"/>
    <w:rsid w:val="3B8E778B"/>
    <w:rsid w:val="3C070A0C"/>
    <w:rsid w:val="3D803B69"/>
    <w:rsid w:val="3FA139B0"/>
    <w:rsid w:val="3FC574F3"/>
    <w:rsid w:val="40714F85"/>
    <w:rsid w:val="40C17CBA"/>
    <w:rsid w:val="40C94DC1"/>
    <w:rsid w:val="41C932CA"/>
    <w:rsid w:val="428C0F59"/>
    <w:rsid w:val="43E20C7E"/>
    <w:rsid w:val="44CE29A6"/>
    <w:rsid w:val="45763769"/>
    <w:rsid w:val="45FD1795"/>
    <w:rsid w:val="4743767B"/>
    <w:rsid w:val="48537D92"/>
    <w:rsid w:val="48822425"/>
    <w:rsid w:val="493F20C4"/>
    <w:rsid w:val="4B3D2633"/>
    <w:rsid w:val="4CF65190"/>
    <w:rsid w:val="4D317F76"/>
    <w:rsid w:val="4F052CEF"/>
    <w:rsid w:val="4F9C4678"/>
    <w:rsid w:val="501E6ED7"/>
    <w:rsid w:val="502D711A"/>
    <w:rsid w:val="50621A3A"/>
    <w:rsid w:val="51714DE5"/>
    <w:rsid w:val="52F061DD"/>
    <w:rsid w:val="53B92A73"/>
    <w:rsid w:val="54BC281B"/>
    <w:rsid w:val="54DB1ED7"/>
    <w:rsid w:val="558461BE"/>
    <w:rsid w:val="565E627F"/>
    <w:rsid w:val="578A6C00"/>
    <w:rsid w:val="5CEC4A4A"/>
    <w:rsid w:val="5D6D6DA8"/>
    <w:rsid w:val="5DF11787"/>
    <w:rsid w:val="5F1A2F60"/>
    <w:rsid w:val="5F8F7E0F"/>
    <w:rsid w:val="61691F7C"/>
    <w:rsid w:val="626549AC"/>
    <w:rsid w:val="62E00680"/>
    <w:rsid w:val="633B34A5"/>
    <w:rsid w:val="63DC07E4"/>
    <w:rsid w:val="644D16E1"/>
    <w:rsid w:val="64C363A2"/>
    <w:rsid w:val="65580BCD"/>
    <w:rsid w:val="656B62C3"/>
    <w:rsid w:val="65A93335"/>
    <w:rsid w:val="66D63C10"/>
    <w:rsid w:val="66F61BBC"/>
    <w:rsid w:val="67D5211A"/>
    <w:rsid w:val="691246FE"/>
    <w:rsid w:val="69320EA6"/>
    <w:rsid w:val="6A265B7B"/>
    <w:rsid w:val="6A3550F2"/>
    <w:rsid w:val="6C586BB4"/>
    <w:rsid w:val="6D982144"/>
    <w:rsid w:val="6E623FDB"/>
    <w:rsid w:val="6E804461"/>
    <w:rsid w:val="6E874BF1"/>
    <w:rsid w:val="70432DA3"/>
    <w:rsid w:val="705F505F"/>
    <w:rsid w:val="7113780F"/>
    <w:rsid w:val="71555F59"/>
    <w:rsid w:val="73D44B4B"/>
    <w:rsid w:val="73DC213A"/>
    <w:rsid w:val="740578E3"/>
    <w:rsid w:val="7541694A"/>
    <w:rsid w:val="75A66EA3"/>
    <w:rsid w:val="75AB44BA"/>
    <w:rsid w:val="75CC0C79"/>
    <w:rsid w:val="75FF0362"/>
    <w:rsid w:val="79314152"/>
    <w:rsid w:val="7B187EFC"/>
    <w:rsid w:val="7B2B78DD"/>
    <w:rsid w:val="7B3F70C4"/>
    <w:rsid w:val="7F054C3B"/>
    <w:rsid w:val="7FD7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unhideWhenUsed/>
    <w:qFormat/>
    <w:uiPriority w:val="99"/>
    <w:pPr>
      <w:spacing w:after="120"/>
    </w:pPr>
  </w:style>
  <w:style w:type="paragraph" w:styleId="6">
    <w:name w:val="Body Text Indent"/>
    <w:basedOn w:val="1"/>
    <w:next w:val="7"/>
    <w:link w:val="12"/>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p0"/>
    <w:basedOn w:val="1"/>
    <w:autoRedefine/>
    <w:qFormat/>
    <w:uiPriority w:val="0"/>
    <w:pPr>
      <w:widowControl/>
      <w:spacing w:line="360" w:lineRule="auto"/>
    </w:pPr>
    <w:rPr>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2084</Words>
  <Characters>2136</Characters>
  <Lines>0</Lines>
  <Paragraphs>0</Paragraphs>
  <TotalTime>1</TotalTime>
  <ScaleCrop>false</ScaleCrop>
  <LinksUpToDate>false</LinksUpToDate>
  <CharactersWithSpaces>2707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2026-04-02T08:30:33Z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