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044FB">
      <w:pPr>
        <w:keepNext w:val="0"/>
        <w:keepLines w:val="0"/>
        <w:pageBreakBefore w:val="0"/>
        <w:kinsoku/>
        <w:wordWrap/>
        <w:overflowPunct/>
        <w:topLinePunct w:val="0"/>
        <w:bidi w:val="0"/>
        <w:spacing w:line="240" w:lineRule="auto"/>
        <w:jc w:val="center"/>
        <w:textAlignment w:val="auto"/>
        <w:outlineLvl w:val="0"/>
        <w:rPr>
          <w:rFonts w:hint="eastAsia" w:ascii="仿宋" w:hAnsi="仿宋" w:eastAsia="仿宋" w:cs="仿宋"/>
          <w:color w:val="auto"/>
          <w:highlight w:val="none"/>
        </w:rPr>
      </w:pPr>
      <w:r>
        <w:rPr>
          <w:rFonts w:hint="eastAsia" w:ascii="仿宋" w:hAnsi="仿宋" w:eastAsia="仿宋" w:cs="仿宋"/>
          <w:b/>
          <w:color w:val="auto"/>
          <w:sz w:val="36"/>
          <w:highlight w:val="none"/>
        </w:rPr>
        <w:t>拟签订的合同文本</w:t>
      </w:r>
    </w:p>
    <w:p w14:paraId="58DEBBB2">
      <w:pPr>
        <w:spacing w:line="360" w:lineRule="auto"/>
        <w:jc w:val="center"/>
        <w:rPr>
          <w:rFonts w:hint="eastAsia" w:ascii="仿宋" w:hAnsi="仿宋" w:eastAsia="仿宋" w:cs="仿宋"/>
          <w:b/>
          <w:color w:val="auto"/>
          <w:sz w:val="24"/>
          <w:szCs w:val="24"/>
          <w:highlight w:val="none"/>
        </w:rPr>
      </w:pPr>
    </w:p>
    <w:p w14:paraId="33C2A188">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（注：本合同仅为合同的参考文本，合同签订双方可根据项目的具体要求进行修订。）</w:t>
      </w:r>
    </w:p>
    <w:p w14:paraId="44C474CE">
      <w:pPr>
        <w:spacing w:line="240" w:lineRule="auto"/>
        <w:ind w:left="0"/>
        <w:jc w:val="center"/>
        <w:rPr>
          <w:rFonts w:hint="eastAsia" w:ascii="仿宋" w:hAnsi="仿宋" w:eastAsia="仿宋" w:cs="仿宋"/>
          <w:b/>
          <w:bCs/>
          <w:spacing w:val="11"/>
          <w:sz w:val="30"/>
          <w:szCs w:val="30"/>
          <w:highlight w:val="none"/>
          <w:u w:val="none" w:color="auto"/>
        </w:rPr>
      </w:pPr>
    </w:p>
    <w:p w14:paraId="5C3B9B96">
      <w:pPr>
        <w:pStyle w:val="3"/>
        <w:spacing w:line="309" w:lineRule="auto"/>
        <w:rPr>
          <w:rFonts w:hint="eastAsia" w:ascii="仿宋" w:hAnsi="仿宋" w:eastAsia="仿宋" w:cs="仿宋"/>
          <w:highlight w:val="none"/>
        </w:rPr>
      </w:pPr>
    </w:p>
    <w:p w14:paraId="598D418A">
      <w:pPr>
        <w:pStyle w:val="3"/>
        <w:spacing w:line="263" w:lineRule="auto"/>
        <w:rPr>
          <w:rFonts w:hint="eastAsia" w:ascii="仿宋" w:hAnsi="仿宋" w:eastAsia="仿宋" w:cs="仿宋"/>
          <w:highlight w:val="none"/>
        </w:rPr>
      </w:pPr>
    </w:p>
    <w:p w14:paraId="288ACFE8">
      <w:pPr>
        <w:pStyle w:val="3"/>
        <w:spacing w:line="263" w:lineRule="auto"/>
        <w:rPr>
          <w:rFonts w:hint="eastAsia" w:ascii="仿宋" w:hAnsi="仿宋" w:eastAsia="仿宋" w:cs="仿宋"/>
          <w:highlight w:val="none"/>
        </w:rPr>
      </w:pPr>
    </w:p>
    <w:p w14:paraId="68B5C9F6">
      <w:pPr>
        <w:pStyle w:val="3"/>
        <w:spacing w:line="264" w:lineRule="auto"/>
        <w:rPr>
          <w:rFonts w:hint="eastAsia" w:ascii="仿宋" w:hAnsi="仿宋" w:eastAsia="仿宋" w:cs="仿宋"/>
          <w:highlight w:val="none"/>
        </w:rPr>
      </w:pPr>
    </w:p>
    <w:p w14:paraId="390FFAC4">
      <w:pPr>
        <w:pStyle w:val="3"/>
        <w:spacing w:line="243" w:lineRule="auto"/>
        <w:jc w:val="both"/>
        <w:rPr>
          <w:rFonts w:hint="eastAsia" w:ascii="仿宋" w:hAnsi="仿宋" w:eastAsia="仿宋" w:cs="仿宋"/>
          <w:highlight w:val="none"/>
        </w:rPr>
      </w:pPr>
    </w:p>
    <w:p w14:paraId="4FEE16FC">
      <w:pPr>
        <w:pStyle w:val="3"/>
        <w:spacing w:line="243" w:lineRule="auto"/>
        <w:jc w:val="center"/>
        <w:rPr>
          <w:rFonts w:hint="eastAsia" w:ascii="仿宋" w:hAnsi="仿宋" w:eastAsia="仿宋" w:cs="仿宋"/>
          <w:b/>
          <w:bCs/>
          <w:sz w:val="44"/>
          <w:szCs w:val="40"/>
          <w:highlight w:val="none"/>
          <w:lang w:val="en-US" w:eastAsia="zh-CN"/>
        </w:rPr>
      </w:pPr>
    </w:p>
    <w:p w14:paraId="5782F1BB">
      <w:pPr>
        <w:pStyle w:val="3"/>
        <w:spacing w:line="243" w:lineRule="auto"/>
        <w:jc w:val="center"/>
        <w:rPr>
          <w:rFonts w:hint="eastAsia" w:ascii="仿宋" w:hAnsi="仿宋" w:eastAsia="仿宋" w:cs="仿宋"/>
          <w:b/>
          <w:bCs/>
          <w:sz w:val="44"/>
          <w:szCs w:val="40"/>
          <w:highlight w:val="none"/>
          <w:lang w:val="en-US" w:eastAsia="zh-CN"/>
        </w:rPr>
      </w:pPr>
    </w:p>
    <w:p w14:paraId="13C6183B">
      <w:pPr>
        <w:pStyle w:val="3"/>
        <w:spacing w:line="243" w:lineRule="auto"/>
        <w:jc w:val="center"/>
        <w:rPr>
          <w:rFonts w:hint="eastAsia" w:ascii="仿宋" w:hAnsi="仿宋" w:eastAsia="仿宋" w:cs="仿宋"/>
          <w:b/>
          <w:bCs/>
          <w:sz w:val="28"/>
          <w:szCs w:val="24"/>
          <w:highlight w:val="none"/>
          <w:lang w:val="en-US"/>
        </w:rPr>
      </w:pPr>
      <w:r>
        <w:rPr>
          <w:rFonts w:hint="eastAsia" w:ascii="仿宋" w:hAnsi="仿宋" w:eastAsia="仿宋" w:cs="仿宋"/>
          <w:b/>
          <w:bCs/>
          <w:sz w:val="44"/>
          <w:szCs w:val="40"/>
          <w:highlight w:val="none"/>
          <w:lang w:val="en-US" w:eastAsia="zh-CN"/>
        </w:rPr>
        <w:t>2026年文景山公园运行维护</w:t>
      </w:r>
    </w:p>
    <w:p w14:paraId="5DE0D9B1">
      <w:pPr>
        <w:pStyle w:val="3"/>
        <w:spacing w:line="243" w:lineRule="auto"/>
        <w:rPr>
          <w:rFonts w:hint="eastAsia" w:ascii="仿宋" w:hAnsi="仿宋" w:eastAsia="仿宋" w:cs="仿宋"/>
          <w:highlight w:val="none"/>
        </w:rPr>
      </w:pPr>
    </w:p>
    <w:p w14:paraId="38756B02">
      <w:pPr>
        <w:pStyle w:val="3"/>
        <w:spacing w:line="243" w:lineRule="auto"/>
        <w:rPr>
          <w:rFonts w:hint="eastAsia" w:ascii="仿宋" w:hAnsi="仿宋" w:eastAsia="仿宋" w:cs="仿宋"/>
          <w:highlight w:val="none"/>
        </w:rPr>
      </w:pPr>
    </w:p>
    <w:p w14:paraId="398CB83C">
      <w:pPr>
        <w:pStyle w:val="3"/>
        <w:spacing w:line="243" w:lineRule="auto"/>
        <w:rPr>
          <w:rFonts w:hint="eastAsia" w:ascii="仿宋" w:hAnsi="仿宋" w:eastAsia="仿宋" w:cs="仿宋"/>
          <w:highlight w:val="none"/>
        </w:rPr>
      </w:pPr>
    </w:p>
    <w:p w14:paraId="33DCE191">
      <w:pPr>
        <w:pStyle w:val="3"/>
        <w:spacing w:line="243" w:lineRule="auto"/>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采购合同</w:t>
      </w:r>
    </w:p>
    <w:p w14:paraId="76768472">
      <w:pPr>
        <w:pStyle w:val="3"/>
        <w:spacing w:line="243" w:lineRule="auto"/>
        <w:rPr>
          <w:rFonts w:hint="eastAsia" w:ascii="仿宋" w:hAnsi="仿宋" w:eastAsia="仿宋" w:cs="仿宋"/>
          <w:highlight w:val="none"/>
        </w:rPr>
      </w:pPr>
    </w:p>
    <w:p w14:paraId="0EACE39C">
      <w:pPr>
        <w:pStyle w:val="3"/>
        <w:spacing w:line="243" w:lineRule="auto"/>
        <w:rPr>
          <w:rFonts w:hint="eastAsia" w:ascii="仿宋" w:hAnsi="仿宋" w:eastAsia="仿宋" w:cs="仿宋"/>
          <w:highlight w:val="none"/>
        </w:rPr>
      </w:pPr>
    </w:p>
    <w:p w14:paraId="304F570C">
      <w:pPr>
        <w:pStyle w:val="3"/>
        <w:spacing w:line="243" w:lineRule="auto"/>
        <w:rPr>
          <w:rFonts w:hint="eastAsia" w:ascii="仿宋" w:hAnsi="仿宋" w:eastAsia="仿宋" w:cs="仿宋"/>
          <w:highlight w:val="none"/>
        </w:rPr>
      </w:pPr>
    </w:p>
    <w:p w14:paraId="78F6E7DE">
      <w:pPr>
        <w:pStyle w:val="3"/>
        <w:spacing w:line="243" w:lineRule="auto"/>
        <w:rPr>
          <w:rFonts w:hint="eastAsia" w:ascii="仿宋" w:hAnsi="仿宋" w:eastAsia="仿宋" w:cs="仿宋"/>
          <w:highlight w:val="none"/>
        </w:rPr>
      </w:pPr>
    </w:p>
    <w:p w14:paraId="08566C69">
      <w:pPr>
        <w:pStyle w:val="3"/>
        <w:spacing w:line="244" w:lineRule="auto"/>
        <w:rPr>
          <w:rFonts w:hint="eastAsia" w:ascii="仿宋" w:hAnsi="仿宋" w:eastAsia="仿宋" w:cs="仿宋"/>
          <w:highlight w:val="none"/>
        </w:rPr>
      </w:pPr>
    </w:p>
    <w:p w14:paraId="1DF81B10">
      <w:pPr>
        <w:pStyle w:val="3"/>
        <w:spacing w:line="244" w:lineRule="auto"/>
        <w:rPr>
          <w:rFonts w:hint="eastAsia" w:ascii="仿宋" w:hAnsi="仿宋" w:eastAsia="仿宋" w:cs="仿宋"/>
          <w:highlight w:val="none"/>
        </w:rPr>
      </w:pPr>
    </w:p>
    <w:p w14:paraId="1DAFEFED">
      <w:pPr>
        <w:pStyle w:val="3"/>
        <w:spacing w:line="244" w:lineRule="auto"/>
        <w:rPr>
          <w:rFonts w:hint="eastAsia" w:ascii="仿宋" w:hAnsi="仿宋" w:eastAsia="仿宋" w:cs="仿宋"/>
          <w:highlight w:val="none"/>
        </w:rPr>
      </w:pPr>
    </w:p>
    <w:p w14:paraId="5B3922FF">
      <w:pPr>
        <w:pStyle w:val="3"/>
        <w:spacing w:line="244" w:lineRule="auto"/>
        <w:rPr>
          <w:rFonts w:hint="eastAsia" w:ascii="仿宋" w:hAnsi="仿宋" w:eastAsia="仿宋" w:cs="仿宋"/>
          <w:highlight w:val="none"/>
        </w:rPr>
      </w:pPr>
    </w:p>
    <w:p w14:paraId="3FE89652">
      <w:pPr>
        <w:pStyle w:val="3"/>
        <w:spacing w:line="244" w:lineRule="auto"/>
        <w:rPr>
          <w:rFonts w:hint="eastAsia" w:ascii="仿宋" w:hAnsi="仿宋" w:eastAsia="仿宋" w:cs="仿宋"/>
          <w:sz w:val="32"/>
          <w:szCs w:val="32"/>
          <w:highlight w:val="none"/>
        </w:rPr>
      </w:pPr>
    </w:p>
    <w:p w14:paraId="0FAC7282">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4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4"/>
          <w:sz w:val="32"/>
          <w:szCs w:val="32"/>
          <w:highlight w:val="none"/>
          <w:lang w:val="en-US" w:eastAsia="zh-CN"/>
        </w:rPr>
        <w:t>甲方</w:t>
      </w:r>
      <w:r>
        <w:rPr>
          <w:rFonts w:hint="eastAsia" w:ascii="仿宋" w:hAnsi="仿宋" w:eastAsia="仿宋" w:cs="仿宋"/>
          <w:spacing w:val="44"/>
          <w:sz w:val="32"/>
          <w:szCs w:val="32"/>
          <w:highlight w:val="none"/>
        </w:rPr>
        <w:t>(全称):</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u w:val="single"/>
          <w:lang w:val="en-US" w:eastAsia="zh-CN"/>
        </w:rPr>
        <w:t xml:space="preserve">                </w:t>
      </w:r>
    </w:p>
    <w:p w14:paraId="33BE4508">
      <w:pPr>
        <w:keepNext w:val="0"/>
        <w:keepLines w:val="0"/>
        <w:pageBreakBefore w:val="0"/>
        <w:widowControl/>
        <w:kinsoku w:val="0"/>
        <w:wordWrap/>
        <w:overflowPunct/>
        <w:topLinePunct w:val="0"/>
        <w:autoSpaceDE w:val="0"/>
        <w:autoSpaceDN w:val="0"/>
        <w:bidi w:val="0"/>
        <w:adjustRightInd w:val="0"/>
        <w:snapToGrid w:val="0"/>
        <w:spacing w:before="81" w:line="360" w:lineRule="auto"/>
        <w:ind w:firstLine="2030" w:firstLineChars="500"/>
        <w:jc w:val="both"/>
        <w:textAlignment w:val="baseline"/>
        <w:rPr>
          <w:rFonts w:hint="eastAsia" w:ascii="仿宋" w:hAnsi="仿宋" w:eastAsia="仿宋" w:cs="仿宋"/>
          <w:sz w:val="32"/>
          <w:szCs w:val="32"/>
          <w:highlight w:val="none"/>
          <w:u w:val="single"/>
          <w:lang w:val="en-US" w:eastAsia="zh-CN"/>
        </w:rPr>
      </w:pPr>
      <w:r>
        <w:rPr>
          <w:rFonts w:hint="eastAsia" w:ascii="仿宋" w:hAnsi="仿宋" w:eastAsia="仿宋" w:cs="仿宋"/>
          <w:spacing w:val="43"/>
          <w:sz w:val="32"/>
          <w:szCs w:val="32"/>
          <w:highlight w:val="none"/>
          <w:lang w:val="en-US" w:eastAsia="zh-CN"/>
        </w:rPr>
        <w:t>乙方</w:t>
      </w:r>
      <w:r>
        <w:rPr>
          <w:rFonts w:hint="eastAsia" w:ascii="仿宋" w:hAnsi="仿宋" w:eastAsia="仿宋" w:cs="仿宋"/>
          <w:spacing w:val="43"/>
          <w:sz w:val="32"/>
          <w:szCs w:val="32"/>
          <w:highlight w:val="none"/>
        </w:rPr>
        <w:t>(全称):</w:t>
      </w:r>
      <w:r>
        <w:rPr>
          <w:rFonts w:hint="eastAsia" w:ascii="仿宋" w:hAnsi="仿宋" w:eastAsia="仿宋" w:cs="仿宋"/>
          <w:spacing w:val="43"/>
          <w:sz w:val="32"/>
          <w:szCs w:val="32"/>
          <w:highlight w:val="none"/>
          <w:lang w:val="en-US" w:eastAsia="zh-CN"/>
        </w:rPr>
        <w:t xml:space="preserve"> </w:t>
      </w:r>
      <w:r>
        <w:rPr>
          <w:rFonts w:hint="eastAsia" w:ascii="仿宋" w:hAnsi="仿宋" w:eastAsia="仿宋" w:cs="仿宋"/>
          <w:spacing w:val="43"/>
          <w:sz w:val="32"/>
          <w:szCs w:val="32"/>
          <w:highlight w:val="none"/>
          <w:u w:val="single"/>
          <w:lang w:val="en-US" w:eastAsia="zh-CN"/>
        </w:rPr>
        <w:t xml:space="preserve">          </w:t>
      </w:r>
    </w:p>
    <w:p w14:paraId="2ACA532C">
      <w:pPr>
        <w:rPr>
          <w:rFonts w:hint="eastAsia"/>
          <w:sz w:val="32"/>
        </w:rPr>
      </w:pPr>
    </w:p>
    <w:p w14:paraId="41E5E43A">
      <w:pP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br w:type="page"/>
      </w:r>
    </w:p>
    <w:p w14:paraId="03C41414">
      <w:pPr>
        <w:ind w:firstLine="480" w:firstLineChars="200"/>
        <w:rPr>
          <w:rFonts w:hint="eastAsia" w:ascii="仿宋" w:hAnsi="仿宋" w:eastAsia="仿宋" w:cs="仿宋"/>
          <w:kern w:val="0"/>
          <w:sz w:val="24"/>
          <w:szCs w:val="24"/>
          <w:lang w:val="en-US" w:eastAsia="zh-CN"/>
        </w:rPr>
      </w:pPr>
      <w:bookmarkStart w:id="0" w:name="_GoBack"/>
      <w:bookmarkEnd w:id="0"/>
      <w:r>
        <w:rPr>
          <w:rFonts w:hint="eastAsia" w:ascii="仿宋" w:hAnsi="仿宋" w:eastAsia="仿宋" w:cs="仿宋"/>
          <w:kern w:val="0"/>
          <w:sz w:val="24"/>
          <w:szCs w:val="24"/>
          <w:lang w:val="en-US" w:eastAsia="zh-CN"/>
        </w:rPr>
        <w:t>甲方（采购人）：</w:t>
      </w:r>
      <w:r>
        <w:rPr>
          <w:rFonts w:hint="eastAsia" w:ascii="仿宋" w:hAnsi="仿宋" w:eastAsia="仿宋" w:cs="仿宋"/>
          <w:kern w:val="0"/>
          <w:sz w:val="24"/>
          <w:szCs w:val="24"/>
          <w:u w:val="single"/>
          <w:lang w:val="en-US" w:eastAsia="zh-CN"/>
        </w:rPr>
        <w:t>西安市城北公园管护中心</w:t>
      </w:r>
    </w:p>
    <w:p w14:paraId="7F5F80B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乙方（中标人）：</w:t>
      </w:r>
      <w:r>
        <w:rPr>
          <w:rFonts w:hint="eastAsia" w:ascii="仿宋" w:hAnsi="仿宋" w:eastAsia="仿宋" w:cs="仿宋"/>
          <w:kern w:val="0"/>
          <w:sz w:val="24"/>
          <w:szCs w:val="24"/>
          <w:u w:val="single"/>
          <w:lang w:val="en-US" w:eastAsia="zh-CN"/>
        </w:rPr>
        <w:t xml:space="preserve">                      </w:t>
      </w:r>
    </w:p>
    <w:p w14:paraId="1026395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p>
    <w:p w14:paraId="4B35C4F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根据《中华人民共和国民法典》及《西安市公园条例》及相关法律法规之规定，甲乙双方在自愿、平等、协商一致的基础上，就</w:t>
      </w:r>
      <w:r>
        <w:rPr>
          <w:rFonts w:hint="eastAsia" w:ascii="仿宋" w:hAnsi="仿宋" w:eastAsia="仿宋" w:cs="仿宋"/>
          <w:kern w:val="0"/>
          <w:sz w:val="24"/>
          <w:szCs w:val="24"/>
          <w:u w:val="single"/>
          <w:lang w:val="en-US" w:eastAsia="zh-CN"/>
        </w:rPr>
        <w:t>（项目名称）</w:t>
      </w:r>
      <w:r>
        <w:rPr>
          <w:rFonts w:hint="eastAsia" w:ascii="仿宋" w:hAnsi="仿宋" w:eastAsia="仿宋" w:cs="仿宋"/>
          <w:kern w:val="0"/>
          <w:sz w:val="24"/>
          <w:szCs w:val="24"/>
          <w:lang w:val="en-US" w:eastAsia="zh-CN"/>
        </w:rPr>
        <w:t>事宜，订立本合同。</w:t>
      </w:r>
    </w:p>
    <w:p w14:paraId="2687BDF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第一条  合同范围</w:t>
      </w:r>
    </w:p>
    <w:p w14:paraId="3BD445E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sz w:val="24"/>
          <w:szCs w:val="24"/>
          <w:highlight w:val="none"/>
        </w:rPr>
        <w:t>西安市文景山公园位于西安市火车北客站东北侧,是我省首例以消纳建筑垃圾为目的的人工堆山造景公园。公园占地面积439.5亩(约29.3万平方米)，公园呈三角形。其中山体面积约177亩，湿地面积约 44.5亩，运动休闲区面积约6.8亩</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公园服务配套设施用房建筑面积约29亩，地下停车场约 30.5亩，绿地面积约 36</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亩。公园内有人工建筑渣土造山、环山河系、人工湖、公园湿地、观景塔、亭台阙阁、文化展馆、体育运动场等建筑单体及多种不同的园林观赏区、花灌木以及地被植物区。是集休闲</w:t>
      </w:r>
      <w:r>
        <w:rPr>
          <w:rFonts w:hint="eastAsia" w:ascii="仿宋" w:hAnsi="仿宋" w:eastAsia="仿宋" w:cs="仿宋"/>
          <w:sz w:val="24"/>
          <w:szCs w:val="24"/>
          <w:highlight w:val="none"/>
          <w:lang w:val="en-US" w:eastAsia="zh-CN"/>
        </w:rPr>
        <w:t>娱乐</w:t>
      </w:r>
      <w:r>
        <w:rPr>
          <w:rFonts w:hint="eastAsia" w:ascii="仿宋" w:hAnsi="仿宋" w:eastAsia="仿宋" w:cs="仿宋"/>
          <w:sz w:val="24"/>
          <w:szCs w:val="24"/>
          <w:highlight w:val="none"/>
        </w:rPr>
        <w:t>、运动健身、观光旅游、文化交流等多功能为一体的市级综合型开放式公园。公园不设围墙，全天 24小时开放。本次采购内容为202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年全年公园运行维护。</w:t>
      </w:r>
    </w:p>
    <w:p w14:paraId="632AF81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次采购内容为2026年全年公园运行维护。具体内容包括园区绿化养护、花卉摆放、节日亮化气氛布置、保洁、湖水保洁、检测及维护、保安、道路广场铺装维护修缮、附属设施设备的维修保养、各类垃圾分类清运、迎检等临时任务等。</w:t>
      </w:r>
    </w:p>
    <w:p w14:paraId="40C9A44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第二条  合同提供的服务</w:t>
      </w:r>
    </w:p>
    <w:p w14:paraId="19F087D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在文景山公园所属区域内，乙方提供的服务包括以下内容：</w:t>
      </w:r>
    </w:p>
    <w:p w14:paraId="3B2E899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1、园区内道路、供水、供电、通讯等其他构筑物等设施设备的运行、维修、养护和管理；</w:t>
      </w:r>
    </w:p>
    <w:p w14:paraId="3B867E9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2、园区所属区域和相关场地的环境保洁，垃圾收集、清运，雨、污水管道的疏通；</w:t>
      </w:r>
    </w:p>
    <w:p w14:paraId="61686B9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3、园区所属区域绿地的养护和管理,日常花卉摆放管理，节日气氛布置，在管护范围植物死亡缺株5%以内的，由乙方负责补栽恢复；</w:t>
      </w:r>
    </w:p>
    <w:p w14:paraId="2975F45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4、园区所属区域秩序维护、安全防范等事项的管理；</w:t>
      </w:r>
    </w:p>
    <w:p w14:paraId="2B35562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5、园区所属区域车辆及非机动车进入公园管理服务；</w:t>
      </w:r>
    </w:p>
    <w:p w14:paraId="4070FE1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6、园区相关配套设施管理服务；</w:t>
      </w:r>
    </w:p>
    <w:p w14:paraId="57B5A26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7、园区档案资料管理；</w:t>
      </w:r>
    </w:p>
    <w:p w14:paraId="03362F8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8、迎检，包括其他临时性、应急性任务。</w:t>
      </w:r>
    </w:p>
    <w:p w14:paraId="27E3769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第三条  服务质量标准</w:t>
      </w:r>
    </w:p>
    <w:p w14:paraId="70DD6F4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乙方提供的服务质量标准相关园林绿化管护、市容环卫等相关行业标准。还要承担城市管理局有关“门前三包”的任务。甲方按照上述标准检查考核服务质量，考核结果将作为支付费用的支撑材料。</w:t>
      </w:r>
    </w:p>
    <w:p w14:paraId="56EC79B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第四条  有关费用及支付</w:t>
      </w:r>
    </w:p>
    <w:p w14:paraId="1862638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1、合同价款为</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万元（大写：</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元）。</w:t>
      </w:r>
    </w:p>
    <w:p w14:paraId="0440A03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2、每季度服务完成后由甲方负责结算，乙方须向甲方出具合法有效的完税发票，甲方根据考核情况按季度进行支付结算。</w:t>
      </w:r>
    </w:p>
    <w:p w14:paraId="21F18AE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第五条  合同的期限：服务期一年。</w:t>
      </w:r>
    </w:p>
    <w:p w14:paraId="3964C8D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第六条  双方权利义务</w:t>
      </w:r>
    </w:p>
    <w:p w14:paraId="118DB59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1、甲方的权利义务：</w:t>
      </w:r>
    </w:p>
    <w:p w14:paraId="259B185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（1）审定乙方制定的服务方案；</w:t>
      </w:r>
    </w:p>
    <w:p w14:paraId="1D41219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（2）监督、检查乙方服务方案的实施。</w:t>
      </w:r>
    </w:p>
    <w:p w14:paraId="3B88DB7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甲方对乙方履约情况进行日常监督及考评、验收。对乙方履约过程中产生的履约不到位、不合格等相关情况，会进行通报，并扣除相应的费用，或延迟支付或调整支付比例等手段促进乙方整改。待乙方整改到位后，甲方复验以后再确定是否支付此扣除比例的费用。</w:t>
      </w:r>
    </w:p>
    <w:p w14:paraId="18E7952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（4）甲方应在本合同生效之日起按照有关规定向乙方提供管理用房。</w:t>
      </w:r>
    </w:p>
    <w:p w14:paraId="36B3704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（5）管理用房属公园所有，由乙方在本合同期限内无偿使用，但不得改变用途，本合同终止，乙方应将管理用房交还给甲方。</w:t>
      </w:r>
    </w:p>
    <w:p w14:paraId="0F2846B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（6）甲方应在合同生效之日起 3 日内向乙方移交以下资料：</w:t>
      </w:r>
    </w:p>
    <w:p w14:paraId="29AC673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①竣工总平面图，单体建筑、结构、设备竣工图，配套设施、地下管网工程竣工图等竣工验收资料；</w:t>
      </w:r>
    </w:p>
    <w:p w14:paraId="20DC3A3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②设施设备清单；</w:t>
      </w:r>
    </w:p>
    <w:p w14:paraId="03726B2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③设施设备的安装、使用和维护保养等技术资料；</w:t>
      </w:r>
    </w:p>
    <w:p w14:paraId="1490BB3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④维修、保养服务形成的技术资料；</w:t>
      </w:r>
    </w:p>
    <w:p w14:paraId="7C58957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⑤管理所必需的其他资料。</w:t>
      </w:r>
    </w:p>
    <w:p w14:paraId="5FE3C2B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2、乙方的权利义务</w:t>
      </w:r>
    </w:p>
    <w:p w14:paraId="1A5012D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（1）根据有关法律、法规的规定和本合同的约定，在园区所属区域提供维护服务；</w:t>
      </w:r>
    </w:p>
    <w:p w14:paraId="519C248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（2）根据园区的实际情况，编制服务方案、年度维修养护计划等；</w:t>
      </w:r>
    </w:p>
    <w:p w14:paraId="3D2B7B6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（3）负责对公园所属区域设施设备进行承接查验；</w:t>
      </w:r>
    </w:p>
    <w:p w14:paraId="2A6DB8C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（4）乙方负责园区日常管护事务，并对场地内所有安全事件负责；</w:t>
      </w:r>
    </w:p>
    <w:p w14:paraId="44474C8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（5）接受甲方对运行维护服务内容和质量标准的监督；</w:t>
      </w:r>
    </w:p>
    <w:p w14:paraId="44738C1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（6）对园区内发生违反法律、法规规定的行为，应及时告知、建议、劝阻并向有关部门报告：</w:t>
      </w:r>
    </w:p>
    <w:p w14:paraId="69F4206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（7）协助做好园区所属区域内的安全防范工作，发生安全事故时，在采取应急措施的同时，及时向有关行政管理部门报告，协助做好救助工作。</w:t>
      </w:r>
    </w:p>
    <w:p w14:paraId="28294E9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（8）向游客宣传园区的使用有关规定和游园禁止行为及注意事项；</w:t>
      </w:r>
    </w:p>
    <w:p w14:paraId="3E6C988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（9）本合同服务期满终止时，乙方应当按照有关规定和本合同约定退出文景山公园的运行维护服务，并按合同约定办理移交手续；</w:t>
      </w:r>
    </w:p>
    <w:p w14:paraId="6FF1FD2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第七条  违约责任</w:t>
      </w:r>
    </w:p>
    <w:p w14:paraId="655DD86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1、因甲方违反本合同的约定，导致乙方的管理服务无法达到本合同约定的服务内容和质量标准的，乙方不承担责任。</w:t>
      </w:r>
    </w:p>
    <w:p w14:paraId="7058D8B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2、在公园服务中发生下列事由，乙方不承担责任：</w:t>
      </w:r>
    </w:p>
    <w:p w14:paraId="7CA20DF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（1）因不可抗力导致服务中断的；</w:t>
      </w:r>
    </w:p>
    <w:p w14:paraId="12EBBAA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（2）乙方已履行本合同约定义务，但因项目本身固有瑕疵造成损失的；</w:t>
      </w:r>
    </w:p>
    <w:p w14:paraId="3B770DB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（3）因非乙方责任出现供水、供电、通讯及其他附属设施设备运行障碍造成损失的；</w:t>
      </w:r>
    </w:p>
    <w:p w14:paraId="7547FD0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3、发生以下情形时合同终止，并且乙方不再入围甲方所有同类项目：</w:t>
      </w:r>
    </w:p>
    <w:p w14:paraId="7909350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（1）乙方在月考核中连续三个月低于90分；</w:t>
      </w:r>
    </w:p>
    <w:p w14:paraId="64B67FE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（2）乙方被媒体曝光或暗访投诉超过两次产生负面影响的；</w:t>
      </w:r>
    </w:p>
    <w:p w14:paraId="5BA5086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（3）乙方在公园维护过程中发生重大失误或者重大安全事故的。</w:t>
      </w:r>
    </w:p>
    <w:p w14:paraId="7476BBF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第八条  本合同未尽事宜，由双方约定后签订补充协议。</w:t>
      </w:r>
    </w:p>
    <w:p w14:paraId="73F5185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第九条  本合同执行期间，如遇不可抗力，致使合同无法履行时，双方应按有关法律、法规规定及时协议处理。</w:t>
      </w:r>
    </w:p>
    <w:p w14:paraId="7F3E494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第十条  本合同正本一式贰份，甲乙双方各执一份；副本陆份，甲方肆份，乙方贰份。具有同等法律效力。</w:t>
      </w:r>
    </w:p>
    <w:p w14:paraId="5736DE3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第十一条  本合同如与有关法律、法规、规章和规范性文件抵触，该条款无效。</w:t>
      </w:r>
    </w:p>
    <w:p w14:paraId="38CF2A3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第十二条  本合同自双方签字盖章并备案后生效。</w:t>
      </w:r>
    </w:p>
    <w:p w14:paraId="4B42D89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p>
    <w:p w14:paraId="6B714C5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p>
    <w:p w14:paraId="360D0E0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甲方（盖章）：                            乙方（盖章）：</w:t>
      </w:r>
    </w:p>
    <w:p w14:paraId="6FCAB3F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法定代表人：                              法定代表人：</w:t>
      </w:r>
    </w:p>
    <w:p w14:paraId="06F2497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联系电话：                                联系电话：</w:t>
      </w:r>
    </w:p>
    <w:p w14:paraId="55D181E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开户行：                                  开户行：</w:t>
      </w:r>
    </w:p>
    <w:p w14:paraId="11DAF03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账号：                                    账号：</w:t>
      </w:r>
    </w:p>
    <w:p w14:paraId="0CEA670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p>
    <w:p w14:paraId="7E447A3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eastAsia" w:ascii="仿宋" w:hAnsi="仿宋" w:eastAsia="仿宋" w:cs="仿宋"/>
          <w:kern w:val="0"/>
          <w:sz w:val="24"/>
          <w:szCs w:val="24"/>
          <w:lang w:val="en-US" w:eastAsia="zh-CN"/>
        </w:rPr>
      </w:pPr>
    </w:p>
    <w:p w14:paraId="5A3B925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80" w:lineRule="exact"/>
        <w:ind w:firstLine="480" w:firstLineChars="200"/>
        <w:textAlignment w:val="auto"/>
        <w:rPr>
          <w:rFonts w:hint="default" w:ascii="宋体" w:hAnsi="宋体" w:eastAsia="宋体" w:cs="宋体"/>
          <w:kern w:val="0"/>
          <w:sz w:val="24"/>
          <w:szCs w:val="24"/>
          <w:lang w:val="en-US" w:eastAsia="zh-CN"/>
        </w:rPr>
      </w:pPr>
      <w:r>
        <w:rPr>
          <w:rFonts w:hint="eastAsia" w:ascii="仿宋" w:hAnsi="仿宋" w:eastAsia="仿宋" w:cs="仿宋"/>
          <w:kern w:val="0"/>
          <w:sz w:val="24"/>
          <w:szCs w:val="24"/>
          <w:lang w:val="en-US" w:eastAsia="zh-CN"/>
        </w:rPr>
        <w:t>合同订立日期：      年      月      日</w:t>
      </w:r>
    </w:p>
    <w:p w14:paraId="1E363483">
      <w:pPr>
        <w:tabs>
          <w:tab w:val="left" w:pos="0"/>
          <w:tab w:val="left" w:pos="993"/>
          <w:tab w:val="left" w:pos="1134"/>
        </w:tabs>
        <w:adjustRightInd w:val="0"/>
        <w:snapToGrid w:val="0"/>
        <w:spacing w:line="360" w:lineRule="auto"/>
        <w:ind w:firstLine="480" w:firstLineChars="200"/>
        <w:rPr>
          <w:rFonts w:hint="default" w:ascii="宋体" w:hAnsi="宋体" w:eastAsia="宋体" w:cs="宋体"/>
          <w:kern w:val="0"/>
          <w:sz w:val="24"/>
          <w:szCs w:val="24"/>
          <w:lang w:val="en-US" w:eastAsia="zh-CN"/>
        </w:rPr>
      </w:pPr>
    </w:p>
    <w:p w14:paraId="0589017E">
      <w:pPr>
        <w:tabs>
          <w:tab w:val="left" w:pos="0"/>
          <w:tab w:val="left" w:pos="993"/>
          <w:tab w:val="left" w:pos="1134"/>
        </w:tabs>
        <w:adjustRightInd w:val="0"/>
        <w:snapToGrid w:val="0"/>
        <w:spacing w:line="360" w:lineRule="auto"/>
        <w:ind w:firstLine="480" w:firstLineChars="200"/>
        <w:rPr>
          <w:rFonts w:hint="default" w:ascii="宋体" w:hAnsi="宋体" w:eastAsia="宋体" w:cs="宋体"/>
          <w:kern w:val="0"/>
          <w:sz w:val="24"/>
          <w:szCs w:val="24"/>
          <w:lang w:val="en-US" w:eastAsia="zh-CN"/>
        </w:rPr>
      </w:pPr>
    </w:p>
    <w:p w14:paraId="2E923BB8">
      <w:pPr>
        <w:tabs>
          <w:tab w:val="left" w:pos="0"/>
          <w:tab w:val="left" w:pos="993"/>
          <w:tab w:val="left" w:pos="1134"/>
        </w:tabs>
        <w:adjustRightInd w:val="0"/>
        <w:snapToGrid w:val="0"/>
        <w:spacing w:line="360" w:lineRule="auto"/>
        <w:ind w:firstLine="480" w:firstLineChars="200"/>
        <w:rPr>
          <w:rFonts w:hint="default" w:ascii="宋体" w:hAnsi="宋体" w:eastAsia="宋体" w:cs="宋体"/>
          <w:kern w:val="0"/>
          <w:sz w:val="24"/>
          <w:szCs w:val="24"/>
          <w:lang w:val="en-US" w:eastAsia="zh-CN"/>
        </w:rPr>
      </w:pPr>
    </w:p>
    <w:p w14:paraId="1FE9845A">
      <w:pPr>
        <w:tabs>
          <w:tab w:val="left" w:pos="0"/>
          <w:tab w:val="left" w:pos="993"/>
          <w:tab w:val="left" w:pos="1134"/>
        </w:tabs>
        <w:adjustRightInd w:val="0"/>
        <w:snapToGrid w:val="0"/>
        <w:spacing w:line="360" w:lineRule="auto"/>
        <w:ind w:firstLine="480" w:firstLineChars="200"/>
        <w:rPr>
          <w:rFonts w:hint="default" w:ascii="宋体" w:hAnsi="宋体" w:eastAsia="宋体" w:cs="宋体"/>
          <w:kern w:val="0"/>
          <w:sz w:val="24"/>
          <w:szCs w:val="24"/>
          <w:lang w:val="en-US" w:eastAsia="zh-CN"/>
        </w:rPr>
      </w:pPr>
    </w:p>
    <w:p w14:paraId="2205A5E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D632E"/>
    <w:rsid w:val="22CE7787"/>
    <w:rsid w:val="25D80FC6"/>
    <w:rsid w:val="36AD632E"/>
    <w:rsid w:val="74B75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2261</Words>
  <Characters>2295</Characters>
  <Lines>0</Lines>
  <Paragraphs>0</Paragraphs>
  <TotalTime>1</TotalTime>
  <ScaleCrop>false</ScaleCrop>
  <LinksUpToDate>false</LinksUpToDate>
  <CharactersWithSpaces>2571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2025-05-21T07:26:00Z</dcterms:created>
  <dc:creator>白日梦</dc:creator>
  <cp:lastModifiedBy>叶染</cp:lastModifiedBy>
  <dcterms:modified xsi:type="dcterms:W3CDTF">2026-04-02T03:33:33Z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39B49E16EC42405886107EA7BAC9D5F3_13</vt:lpwstr>
  </property>
  <property fmtid="{D5CDD505-2E9C-101B-9397-08002B2CF9AE}" pid="4" name="KSOTemplateDocerSaveRecord">
    <vt:lpwstr>eyJoZGlkIjoiNmY1NDJlOWE5ZmM4ZjQ2NDQ1NTM2NmI4YmJjZjQ0OWIiLCJ1c2VySWQiOiI5Njc5NTM0ODMifQ==</vt:lpwstr>
  </property>
</Properties>
</file>