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text" w:horzAnchor="page" w:tblpX="7976"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1A91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noWrap w:val="0"/>
            <w:vAlign w:val="top"/>
          </w:tcPr>
          <w:p w14:paraId="78D6A513">
            <w:pPr>
              <w:pageBreakBefore w:val="0"/>
              <w:wordWrap/>
              <w:topLinePunct w:val="0"/>
              <w:bidi w:val="0"/>
              <w:adjustRightInd/>
              <w:snapToGrid/>
              <w:spacing w:beforeAutospacing="0" w:afterAutospacing="0" w:line="240" w:lineRule="auto"/>
              <w:jc w:val="center"/>
              <w:textAlignment w:val="auto"/>
              <w:rPr>
                <w:rFonts w:hint="eastAsia" w:ascii="黑体" w:eastAsia="黑体"/>
                <w:b/>
                <w:sz w:val="30"/>
                <w:szCs w:val="30"/>
                <w:highlight w:val="none"/>
              </w:rPr>
            </w:pPr>
            <w:r>
              <w:rPr>
                <w:rFonts w:hint="eastAsia" w:ascii="黑体" w:eastAsia="黑体"/>
                <w:b/>
                <w:sz w:val="30"/>
                <w:szCs w:val="30"/>
                <w:highlight w:val="none"/>
              </w:rPr>
              <w:t>竞争性磋商采购</w:t>
            </w:r>
          </w:p>
        </w:tc>
      </w:tr>
    </w:tbl>
    <w:p w14:paraId="3661F5C7">
      <w:pPr>
        <w:pageBreakBefore w:val="0"/>
        <w:wordWrap/>
        <w:topLinePunct w:val="0"/>
        <w:bidi w:val="0"/>
        <w:adjustRightInd/>
        <w:snapToGrid/>
        <w:spacing w:beforeAutospacing="0" w:afterAutospacing="0" w:line="240" w:lineRule="auto"/>
        <w:textAlignment w:val="auto"/>
        <w:rPr>
          <w:rFonts w:hint="eastAsia" w:ascii="黑体" w:eastAsia="黑体"/>
          <w:b/>
          <w:sz w:val="32"/>
          <w:szCs w:val="32"/>
          <w:highlight w:val="none"/>
        </w:rPr>
      </w:pPr>
    </w:p>
    <w:p w14:paraId="0DE9BA8D">
      <w:pPr>
        <w:pStyle w:val="3"/>
        <w:pageBreakBefore w:val="0"/>
        <w:kinsoku/>
        <w:wordWrap/>
        <w:overflowPunct/>
        <w:topLinePunct w:val="0"/>
        <w:autoSpaceDE/>
        <w:autoSpaceDN/>
        <w:bidi w:val="0"/>
        <w:adjustRightInd/>
        <w:snapToGrid/>
        <w:spacing w:before="0" w:beforeAutospacing="0" w:after="0" w:afterAutospacing="0" w:line="480" w:lineRule="auto"/>
        <w:ind w:left="0" w:leftChars="0" w:firstLine="0" w:firstLineChars="0"/>
        <w:jc w:val="both"/>
        <w:textAlignment w:val="auto"/>
        <w:rPr>
          <w:rFonts w:hint="eastAsia"/>
          <w:sz w:val="44"/>
          <w:szCs w:val="44"/>
        </w:rPr>
      </w:pPr>
    </w:p>
    <w:p w14:paraId="75D78F07">
      <w:pPr>
        <w:pStyle w:val="3"/>
        <w:pageBreakBefore w:val="0"/>
        <w:kinsoku/>
        <w:wordWrap/>
        <w:overflowPunct/>
        <w:topLinePunct w:val="0"/>
        <w:autoSpaceDE/>
        <w:autoSpaceDN/>
        <w:bidi w:val="0"/>
        <w:adjustRightInd/>
        <w:snapToGrid/>
        <w:spacing w:before="0" w:beforeAutospacing="0" w:after="0" w:afterAutospacing="0" w:line="480" w:lineRule="auto"/>
        <w:ind w:left="0" w:leftChars="0" w:firstLine="0" w:firstLineChars="0"/>
        <w:jc w:val="both"/>
        <w:textAlignment w:val="auto"/>
        <w:rPr>
          <w:rFonts w:hint="eastAsia"/>
          <w:sz w:val="44"/>
          <w:szCs w:val="44"/>
        </w:rPr>
      </w:pPr>
    </w:p>
    <w:p w14:paraId="4454CFF8">
      <w:pPr>
        <w:pStyle w:val="3"/>
        <w:pageBreakBefore w:val="0"/>
        <w:kinsoku/>
        <w:wordWrap/>
        <w:overflowPunct/>
        <w:topLinePunct w:val="0"/>
        <w:autoSpaceDE/>
        <w:autoSpaceDN/>
        <w:bidi w:val="0"/>
        <w:adjustRightInd/>
        <w:snapToGrid/>
        <w:spacing w:before="0" w:beforeAutospacing="0" w:after="0" w:afterAutospacing="0" w:line="480" w:lineRule="auto"/>
        <w:ind w:left="0" w:leftChars="0" w:firstLine="0" w:firstLineChars="0"/>
        <w:jc w:val="center"/>
        <w:textAlignment w:val="auto"/>
        <w:rPr>
          <w:rFonts w:hint="eastAsia"/>
          <w:sz w:val="44"/>
          <w:szCs w:val="44"/>
        </w:rPr>
      </w:pPr>
    </w:p>
    <w:p w14:paraId="7E10467A">
      <w:pPr>
        <w:pStyle w:val="3"/>
        <w:pageBreakBefore w:val="0"/>
        <w:kinsoku/>
        <w:wordWrap/>
        <w:overflowPunct/>
        <w:topLinePunct w:val="0"/>
        <w:autoSpaceDE/>
        <w:autoSpaceDN/>
        <w:bidi w:val="0"/>
        <w:adjustRightInd/>
        <w:snapToGrid/>
        <w:spacing w:before="0" w:beforeAutospacing="0" w:after="0" w:afterAutospacing="0" w:line="480" w:lineRule="auto"/>
        <w:ind w:left="0" w:leftChars="0" w:firstLine="0" w:firstLineChars="0"/>
        <w:jc w:val="center"/>
        <w:textAlignment w:val="auto"/>
        <w:rPr>
          <w:rFonts w:hint="eastAsia"/>
          <w:sz w:val="44"/>
          <w:szCs w:val="44"/>
        </w:rPr>
      </w:pPr>
      <w:r>
        <w:rPr>
          <w:rFonts w:hint="eastAsia"/>
          <w:sz w:val="44"/>
          <w:szCs w:val="44"/>
        </w:rPr>
        <w:t>第</w:t>
      </w:r>
      <w:r>
        <w:rPr>
          <w:rFonts w:hint="eastAsia"/>
          <w:sz w:val="44"/>
          <w:szCs w:val="44"/>
          <w:lang w:val="en-US" w:eastAsia="zh-CN"/>
        </w:rPr>
        <w:t>八</w:t>
      </w:r>
      <w:r>
        <w:rPr>
          <w:rFonts w:hint="eastAsia"/>
          <w:sz w:val="44"/>
          <w:szCs w:val="44"/>
        </w:rPr>
        <w:t>届双品网购节陕西（西安）</w:t>
      </w:r>
    </w:p>
    <w:p w14:paraId="43B15F12">
      <w:pPr>
        <w:pStyle w:val="3"/>
        <w:pageBreakBefore w:val="0"/>
        <w:kinsoku/>
        <w:wordWrap/>
        <w:overflowPunct/>
        <w:topLinePunct w:val="0"/>
        <w:autoSpaceDE/>
        <w:autoSpaceDN/>
        <w:bidi w:val="0"/>
        <w:adjustRightInd/>
        <w:snapToGrid/>
        <w:spacing w:before="0" w:beforeAutospacing="0" w:after="0" w:afterAutospacing="0" w:line="480" w:lineRule="auto"/>
        <w:ind w:left="0" w:leftChars="0" w:firstLine="0" w:firstLineChars="0"/>
        <w:jc w:val="center"/>
        <w:textAlignment w:val="auto"/>
        <w:rPr>
          <w:rFonts w:hint="default" w:eastAsia="宋体"/>
          <w:sz w:val="44"/>
          <w:szCs w:val="44"/>
          <w:lang w:val="en-US" w:eastAsia="zh-CN"/>
        </w:rPr>
      </w:pPr>
      <w:r>
        <w:rPr>
          <w:rFonts w:hint="eastAsia"/>
          <w:sz w:val="44"/>
          <w:szCs w:val="44"/>
        </w:rPr>
        <w:t>专场活动</w:t>
      </w:r>
      <w:r>
        <w:rPr>
          <w:rFonts w:hint="eastAsia"/>
          <w:sz w:val="44"/>
          <w:szCs w:val="44"/>
          <w:lang w:val="en-US" w:eastAsia="zh-CN"/>
        </w:rPr>
        <w:t>项目</w:t>
      </w:r>
    </w:p>
    <w:p w14:paraId="7056241B">
      <w:pPr>
        <w:pageBreakBefore w:val="0"/>
        <w:kinsoku/>
        <w:wordWrap/>
        <w:overflowPunct/>
        <w:topLinePunct w:val="0"/>
        <w:autoSpaceDE/>
        <w:autoSpaceDN/>
        <w:bidi w:val="0"/>
        <w:adjustRightInd/>
        <w:snapToGrid/>
        <w:spacing w:beforeAutospacing="0" w:afterAutospacing="0" w:line="480" w:lineRule="auto"/>
        <w:jc w:val="center"/>
        <w:textAlignment w:val="auto"/>
        <w:rPr>
          <w:rFonts w:hint="eastAsia" w:ascii="黑体" w:eastAsia="黑体"/>
          <w:sz w:val="30"/>
          <w:szCs w:val="30"/>
          <w:highlight w:val="none"/>
        </w:rPr>
      </w:pPr>
      <w:bookmarkStart w:id="0" w:name="_Toc1469"/>
      <w:bookmarkStart w:id="1" w:name="_Toc5552"/>
      <w:bookmarkStart w:id="2" w:name="_Toc9646"/>
      <w:bookmarkStart w:id="3" w:name="_Toc1475"/>
      <w:bookmarkStart w:id="4" w:name="_Toc22946"/>
      <w:r>
        <w:rPr>
          <w:rFonts w:hint="eastAsia" w:ascii="黑体" w:eastAsia="黑体"/>
          <w:sz w:val="30"/>
          <w:szCs w:val="30"/>
          <w:highlight w:val="none"/>
        </w:rPr>
        <w:t>（项目编号：</w:t>
      </w:r>
      <w:r>
        <w:rPr>
          <w:rFonts w:hint="eastAsia" w:ascii="黑体" w:eastAsia="黑体"/>
          <w:sz w:val="30"/>
          <w:szCs w:val="30"/>
          <w:highlight w:val="none"/>
          <w:lang w:val="en-US" w:eastAsia="zh-CN"/>
        </w:rPr>
        <w:t xml:space="preserve">    </w:t>
      </w:r>
      <w:r>
        <w:rPr>
          <w:rFonts w:hint="eastAsia" w:ascii="黑体" w:eastAsia="黑体"/>
          <w:sz w:val="30"/>
          <w:szCs w:val="30"/>
          <w:highlight w:val="none"/>
        </w:rPr>
        <w:t xml:space="preserve"> </w:t>
      </w:r>
      <w:r>
        <w:rPr>
          <w:rFonts w:hint="eastAsia" w:ascii="仿宋" w:eastAsia="仿宋"/>
          <w:sz w:val="28"/>
          <w:szCs w:val="28"/>
          <w:highlight w:val="none"/>
        </w:rPr>
        <w:t>）</w:t>
      </w:r>
    </w:p>
    <w:p w14:paraId="308B4842">
      <w:pPr>
        <w:pageBreakBefore w:val="0"/>
        <w:wordWrap/>
        <w:topLinePunct w:val="0"/>
        <w:bidi w:val="0"/>
        <w:adjustRightInd/>
        <w:snapToGrid/>
        <w:spacing w:beforeAutospacing="0" w:afterAutospacing="0" w:line="240" w:lineRule="auto"/>
        <w:jc w:val="center"/>
        <w:textAlignment w:val="auto"/>
        <w:outlineLvl w:val="1"/>
        <w:rPr>
          <w:rFonts w:hint="eastAsia" w:ascii="Arial" w:hAnsi="Arial" w:eastAsia="宋体" w:cs="Times New Roman"/>
          <w:b/>
          <w:bCs/>
          <w:sz w:val="44"/>
          <w:szCs w:val="44"/>
          <w:lang w:val="en-US" w:eastAsia="zh-CN" w:bidi="ar-SA"/>
        </w:rPr>
      </w:pPr>
    </w:p>
    <w:p w14:paraId="5D230FCF">
      <w:pPr>
        <w:pageBreakBefore w:val="0"/>
        <w:wordWrap/>
        <w:topLinePunct w:val="0"/>
        <w:bidi w:val="0"/>
        <w:adjustRightInd/>
        <w:snapToGrid/>
        <w:spacing w:beforeAutospacing="0" w:afterAutospacing="0" w:line="240" w:lineRule="auto"/>
        <w:jc w:val="center"/>
        <w:textAlignment w:val="auto"/>
        <w:outlineLvl w:val="1"/>
        <w:rPr>
          <w:rFonts w:hint="eastAsia" w:ascii="Arial" w:hAnsi="Arial" w:eastAsia="宋体" w:cs="Times New Roman"/>
          <w:b/>
          <w:bCs/>
          <w:sz w:val="44"/>
          <w:szCs w:val="44"/>
          <w:lang w:val="en-US" w:eastAsia="zh-CN" w:bidi="ar-SA"/>
        </w:rPr>
      </w:pPr>
    </w:p>
    <w:p w14:paraId="53F9CC79">
      <w:pPr>
        <w:pageBreakBefore w:val="0"/>
        <w:wordWrap/>
        <w:topLinePunct w:val="0"/>
        <w:bidi w:val="0"/>
        <w:adjustRightInd/>
        <w:snapToGrid/>
        <w:spacing w:beforeAutospacing="0" w:afterAutospacing="0" w:line="240" w:lineRule="auto"/>
        <w:jc w:val="center"/>
        <w:textAlignment w:val="auto"/>
        <w:outlineLvl w:val="1"/>
        <w:rPr>
          <w:rFonts w:hint="eastAsia" w:ascii="Arial" w:hAnsi="Arial" w:eastAsia="宋体" w:cs="Times New Roman"/>
          <w:b/>
          <w:bCs/>
          <w:sz w:val="44"/>
          <w:szCs w:val="44"/>
          <w:lang w:val="en-US" w:eastAsia="zh-CN" w:bidi="ar-SA"/>
        </w:rPr>
      </w:pPr>
    </w:p>
    <w:p w14:paraId="78925D8A">
      <w:pPr>
        <w:pageBreakBefore w:val="0"/>
        <w:wordWrap/>
        <w:topLinePunct w:val="0"/>
        <w:bidi w:val="0"/>
        <w:adjustRightInd/>
        <w:snapToGrid/>
        <w:spacing w:beforeAutospacing="0" w:afterAutospacing="0" w:line="240" w:lineRule="auto"/>
        <w:jc w:val="center"/>
        <w:textAlignment w:val="auto"/>
        <w:outlineLvl w:val="1"/>
        <w:rPr>
          <w:rFonts w:hint="default" w:ascii="黑体" w:eastAsia="黑体"/>
          <w:sz w:val="30"/>
          <w:szCs w:val="30"/>
          <w:highlight w:val="none"/>
          <w:lang w:val="en-US"/>
        </w:rPr>
      </w:pPr>
      <w:r>
        <w:rPr>
          <w:rFonts w:hint="eastAsia" w:ascii="Arial" w:hAnsi="Arial" w:eastAsia="宋体" w:cs="Times New Roman"/>
          <w:b/>
          <w:bCs/>
          <w:sz w:val="72"/>
          <w:szCs w:val="72"/>
          <w:lang w:val="en-US" w:eastAsia="zh-CN" w:bidi="ar-SA"/>
        </w:rPr>
        <w:t>合</w:t>
      </w:r>
      <w:r>
        <w:rPr>
          <w:rFonts w:hint="eastAsia" w:ascii="Arial" w:hAnsi="Arial" w:cs="Times New Roman"/>
          <w:b/>
          <w:bCs/>
          <w:sz w:val="72"/>
          <w:szCs w:val="72"/>
          <w:lang w:val="en-US" w:eastAsia="zh-CN" w:bidi="ar-SA"/>
        </w:rPr>
        <w:t xml:space="preserve"> </w:t>
      </w:r>
      <w:r>
        <w:rPr>
          <w:rFonts w:hint="eastAsia" w:ascii="Arial" w:hAnsi="Arial" w:eastAsia="宋体" w:cs="Times New Roman"/>
          <w:b/>
          <w:bCs/>
          <w:sz w:val="72"/>
          <w:szCs w:val="72"/>
          <w:lang w:val="en-US" w:eastAsia="zh-CN" w:bidi="ar-SA"/>
        </w:rPr>
        <w:t>同</w:t>
      </w:r>
      <w:bookmarkEnd w:id="0"/>
      <w:bookmarkEnd w:id="1"/>
      <w:bookmarkEnd w:id="2"/>
      <w:bookmarkEnd w:id="3"/>
      <w:bookmarkEnd w:id="4"/>
      <w:r>
        <w:rPr>
          <w:rFonts w:hint="eastAsia" w:ascii="Arial" w:hAnsi="Arial" w:cs="Times New Roman"/>
          <w:b/>
          <w:bCs/>
          <w:sz w:val="72"/>
          <w:szCs w:val="72"/>
          <w:lang w:val="en-US" w:eastAsia="zh-CN" w:bidi="ar-SA"/>
        </w:rPr>
        <w:t xml:space="preserve"> 书</w:t>
      </w:r>
    </w:p>
    <w:p w14:paraId="4088FBF4">
      <w:pPr>
        <w:pStyle w:val="6"/>
        <w:rPr>
          <w:rFonts w:hint="eastAsia" w:ascii="黑体" w:eastAsia="黑体"/>
          <w:sz w:val="30"/>
          <w:szCs w:val="30"/>
          <w:highlight w:val="none"/>
        </w:rPr>
      </w:pPr>
    </w:p>
    <w:p w14:paraId="77A0223C">
      <w:pPr>
        <w:pStyle w:val="6"/>
        <w:rPr>
          <w:rFonts w:hint="eastAsia" w:ascii="黑体" w:eastAsia="黑体"/>
          <w:sz w:val="30"/>
          <w:szCs w:val="30"/>
          <w:highlight w:val="none"/>
        </w:rPr>
      </w:pPr>
    </w:p>
    <w:p w14:paraId="686E2C0F">
      <w:pPr>
        <w:pageBreakBefore w:val="0"/>
        <w:wordWrap/>
        <w:topLinePunct w:val="0"/>
        <w:bidi w:val="0"/>
        <w:adjustRightInd/>
        <w:snapToGrid/>
        <w:spacing w:beforeAutospacing="0" w:afterAutospacing="0" w:line="240" w:lineRule="auto"/>
        <w:jc w:val="center"/>
        <w:textAlignment w:val="auto"/>
        <w:rPr>
          <w:rFonts w:hint="eastAsia" w:ascii="黑体" w:eastAsia="黑体"/>
          <w:sz w:val="30"/>
          <w:szCs w:val="30"/>
          <w:highlight w:val="none"/>
        </w:rPr>
      </w:pPr>
    </w:p>
    <w:p w14:paraId="7E7C330F">
      <w:pPr>
        <w:pageBreakBefore w:val="0"/>
        <w:wordWrap/>
        <w:topLinePunct w:val="0"/>
        <w:bidi w:val="0"/>
        <w:adjustRightInd/>
        <w:snapToGrid/>
        <w:spacing w:beforeAutospacing="0" w:afterAutospacing="0" w:line="240" w:lineRule="auto"/>
        <w:ind w:firstLine="2080" w:firstLineChars="650"/>
        <w:textAlignment w:val="auto"/>
        <w:rPr>
          <w:rFonts w:hint="eastAsia" w:ascii="黑体" w:eastAsia="黑体"/>
          <w:sz w:val="32"/>
          <w:szCs w:val="32"/>
          <w:highlight w:val="none"/>
        </w:rPr>
      </w:pPr>
      <w:r>
        <w:rPr>
          <w:rFonts w:hint="eastAsia" w:ascii="黑体" w:eastAsia="黑体"/>
          <w:sz w:val="32"/>
          <w:szCs w:val="32"/>
          <w:highlight w:val="none"/>
        </w:rPr>
        <w:t>甲  方：</w:t>
      </w:r>
    </w:p>
    <w:p w14:paraId="1D48B5AE">
      <w:pPr>
        <w:pageBreakBefore w:val="0"/>
        <w:tabs>
          <w:tab w:val="left" w:pos="480"/>
        </w:tabs>
        <w:wordWrap/>
        <w:topLinePunct w:val="0"/>
        <w:bidi w:val="0"/>
        <w:adjustRightInd/>
        <w:snapToGrid/>
        <w:spacing w:beforeAutospacing="0" w:afterAutospacing="0" w:line="240" w:lineRule="auto"/>
        <w:ind w:firstLine="640" w:firstLineChars="200"/>
        <w:textAlignment w:val="auto"/>
        <w:rPr>
          <w:rFonts w:hint="eastAsia" w:ascii="黑体" w:eastAsia="黑体"/>
          <w:sz w:val="32"/>
          <w:szCs w:val="32"/>
          <w:highlight w:val="none"/>
        </w:rPr>
      </w:pPr>
      <w:r>
        <w:rPr>
          <w:rFonts w:hint="eastAsia" w:ascii="黑体" w:eastAsia="黑体"/>
          <w:sz w:val="32"/>
          <w:szCs w:val="32"/>
          <w:highlight w:val="none"/>
        </w:rPr>
        <w:t xml:space="preserve">        </w:t>
      </w:r>
    </w:p>
    <w:p w14:paraId="4AB91160">
      <w:pPr>
        <w:pageBreakBefore w:val="0"/>
        <w:tabs>
          <w:tab w:val="left" w:pos="480"/>
        </w:tabs>
        <w:wordWrap/>
        <w:topLinePunct w:val="0"/>
        <w:bidi w:val="0"/>
        <w:adjustRightInd/>
        <w:snapToGrid/>
        <w:spacing w:beforeAutospacing="0" w:afterAutospacing="0" w:line="240" w:lineRule="auto"/>
        <w:ind w:firstLine="1920" w:firstLineChars="600"/>
        <w:textAlignment w:val="auto"/>
        <w:rPr>
          <w:rFonts w:hint="default" w:ascii="黑体" w:eastAsia="黑体"/>
          <w:sz w:val="32"/>
          <w:szCs w:val="32"/>
          <w:highlight w:val="none"/>
          <w:lang w:val="en-US" w:eastAsia="zh-CN"/>
        </w:rPr>
      </w:pPr>
      <w:r>
        <w:rPr>
          <w:rFonts w:hint="eastAsia" w:ascii="黑体" w:eastAsia="黑体"/>
          <w:sz w:val="32"/>
          <w:szCs w:val="32"/>
          <w:highlight w:val="none"/>
        </w:rPr>
        <w:t xml:space="preserve"> 乙  方：</w:t>
      </w:r>
    </w:p>
    <w:p w14:paraId="26EEF21D">
      <w:pPr>
        <w:pageBreakBefore w:val="0"/>
        <w:wordWrap/>
        <w:topLinePunct w:val="0"/>
        <w:bidi w:val="0"/>
        <w:adjustRightInd/>
        <w:snapToGrid/>
        <w:spacing w:beforeAutospacing="0" w:afterAutospacing="0" w:line="240" w:lineRule="auto"/>
        <w:jc w:val="center"/>
        <w:textAlignment w:val="auto"/>
        <w:rPr>
          <w:rFonts w:hint="eastAsia" w:ascii="黑体" w:eastAsia="黑体"/>
          <w:sz w:val="30"/>
          <w:szCs w:val="30"/>
          <w:highlight w:val="none"/>
        </w:rPr>
      </w:pPr>
    </w:p>
    <w:p w14:paraId="0D585784">
      <w:pPr>
        <w:pageBreakBefore w:val="0"/>
        <w:wordWrap/>
        <w:topLinePunct w:val="0"/>
        <w:bidi w:val="0"/>
        <w:adjustRightInd/>
        <w:snapToGrid/>
        <w:spacing w:beforeAutospacing="0" w:afterAutospacing="0" w:line="240" w:lineRule="auto"/>
        <w:jc w:val="center"/>
        <w:textAlignment w:val="auto"/>
        <w:rPr>
          <w:rFonts w:hint="eastAsia" w:ascii="黑体" w:eastAsia="黑体"/>
          <w:sz w:val="32"/>
          <w:szCs w:val="32"/>
          <w:highlight w:val="none"/>
        </w:rPr>
      </w:pPr>
      <w:r>
        <w:rPr>
          <w:rFonts w:hint="eastAsia" w:ascii="黑体" w:eastAsia="黑体"/>
          <w:sz w:val="32"/>
          <w:szCs w:val="32"/>
          <w:highlight w:val="none"/>
        </w:rPr>
        <w:t xml:space="preserve">  年  月   日</w:t>
      </w:r>
    </w:p>
    <w:p w14:paraId="47D4F1E5">
      <w:pPr>
        <w:pageBreakBefore w:val="0"/>
        <w:wordWrap/>
        <w:topLinePunct w:val="0"/>
        <w:bidi w:val="0"/>
        <w:adjustRightInd/>
        <w:snapToGrid/>
        <w:spacing w:beforeAutospacing="0" w:afterAutospacing="0" w:line="240" w:lineRule="auto"/>
        <w:ind w:left="66" w:right="0" w:firstLine="0"/>
        <w:jc w:val="center"/>
        <w:textAlignment w:val="auto"/>
        <w:rPr>
          <w:rFonts w:hint="eastAsia" w:ascii="黑体" w:eastAsia="黑体"/>
          <w:b/>
          <w:sz w:val="36"/>
        </w:rPr>
      </w:pPr>
    </w:p>
    <w:p w14:paraId="7490B0AA">
      <w:pPr>
        <w:pStyle w:val="5"/>
        <w:pageBreakBefore w:val="0"/>
        <w:wordWrap/>
        <w:topLinePunct w:val="0"/>
        <w:bidi w:val="0"/>
        <w:adjustRightInd/>
        <w:snapToGrid/>
        <w:spacing w:beforeAutospacing="0" w:afterAutospacing="0" w:line="240" w:lineRule="auto"/>
        <w:textAlignment w:val="auto"/>
        <w:rPr>
          <w:rFonts w:hint="eastAsia" w:ascii="黑体" w:eastAsia="黑体"/>
          <w:b/>
          <w:sz w:val="36"/>
        </w:rPr>
      </w:pPr>
    </w:p>
    <w:p w14:paraId="3E16E9F0">
      <w:pPr>
        <w:pStyle w:val="5"/>
        <w:pageBreakBefore w:val="0"/>
        <w:wordWrap/>
        <w:topLinePunct w:val="0"/>
        <w:bidi w:val="0"/>
        <w:adjustRightInd/>
        <w:snapToGrid/>
        <w:spacing w:beforeAutospacing="0" w:afterAutospacing="0" w:line="240" w:lineRule="auto"/>
        <w:textAlignment w:val="auto"/>
        <w:rPr>
          <w:rFonts w:hint="eastAsia" w:ascii="黑体" w:eastAsia="黑体"/>
          <w:b/>
          <w:sz w:val="36"/>
        </w:rPr>
      </w:pPr>
    </w:p>
    <w:p w14:paraId="30D70612">
      <w:pPr>
        <w:pageBreakBefore w:val="0"/>
        <w:wordWrap/>
        <w:topLinePunct w:val="0"/>
        <w:bidi w:val="0"/>
        <w:adjustRightInd/>
        <w:snapToGrid/>
        <w:spacing w:beforeAutospacing="0" w:afterAutospacing="0" w:line="240" w:lineRule="auto"/>
        <w:ind w:left="66" w:right="0" w:firstLine="0"/>
        <w:jc w:val="center"/>
        <w:textAlignment w:val="auto"/>
        <w:rPr>
          <w:rFonts w:hint="eastAsia" w:ascii="黑体" w:eastAsia="黑体"/>
          <w:b/>
          <w:sz w:val="36"/>
          <w:lang w:eastAsia="zh-CN"/>
        </w:rPr>
      </w:pPr>
      <w:r>
        <w:rPr>
          <w:rFonts w:hint="eastAsia" w:ascii="黑体" w:eastAsia="黑体"/>
          <w:b/>
          <w:sz w:val="36"/>
          <w:lang w:val="en-US" w:eastAsia="zh-CN"/>
        </w:rPr>
        <w:t xml:space="preserve">合同书  </w:t>
      </w:r>
    </w:p>
    <w:p w14:paraId="5A859E4F">
      <w:pPr>
        <w:pStyle w:val="6"/>
        <w:pageBreakBefore w:val="0"/>
        <w:tabs>
          <w:tab w:val="left" w:pos="2742"/>
        </w:tabs>
        <w:wordWrap/>
        <w:topLinePunct w:val="0"/>
        <w:bidi w:val="0"/>
        <w:adjustRightInd/>
        <w:snapToGrid/>
        <w:spacing w:beforeAutospacing="0" w:after="0" w:afterAutospacing="0" w:line="240" w:lineRule="auto"/>
        <w:ind w:left="0" w:leftChars="0" w:right="0" w:firstLine="478" w:firstLineChars="200"/>
        <w:jc w:val="left"/>
        <w:textAlignment w:val="auto"/>
        <w:rPr>
          <w:rFonts w:hint="eastAsia" w:ascii="宋体" w:hAnsi="宋体" w:eastAsia="宋体" w:cs="宋体"/>
          <w:b/>
          <w:bCs/>
          <w:spacing w:val="-1"/>
          <w:sz w:val="24"/>
          <w:szCs w:val="24"/>
        </w:rPr>
      </w:pPr>
    </w:p>
    <w:p w14:paraId="19475E7C">
      <w:pPr>
        <w:pStyle w:val="6"/>
        <w:pageBreakBefore w:val="0"/>
        <w:tabs>
          <w:tab w:val="left" w:pos="2742"/>
        </w:tabs>
        <w:wordWrap/>
        <w:topLinePunct w:val="0"/>
        <w:bidi w:val="0"/>
        <w:adjustRightInd/>
        <w:snapToGrid/>
        <w:spacing w:beforeAutospacing="0" w:after="0" w:afterAutospacing="0" w:line="360" w:lineRule="auto"/>
        <w:ind w:left="0" w:leftChars="0" w:right="0" w:rightChars="0" w:firstLine="478" w:firstLineChars="200"/>
        <w:jc w:val="left"/>
        <w:textAlignment w:val="auto"/>
        <w:rPr>
          <w:rFonts w:hint="eastAsia" w:ascii="宋体" w:hAnsi="宋体" w:eastAsia="宋体" w:cs="宋体"/>
          <w:b/>
          <w:bCs/>
          <w:spacing w:val="-1"/>
          <w:sz w:val="24"/>
          <w:szCs w:val="24"/>
          <w:u w:val="single"/>
          <w:lang w:val="en-US" w:eastAsia="zh-CN"/>
        </w:rPr>
      </w:pPr>
      <w:r>
        <w:rPr>
          <w:rFonts w:hint="eastAsia" w:ascii="宋体" w:hAnsi="宋体" w:eastAsia="宋体" w:cs="宋体"/>
          <w:b/>
          <w:bCs/>
          <w:spacing w:val="-1"/>
          <w:sz w:val="24"/>
          <w:szCs w:val="24"/>
        </w:rPr>
        <w:t>甲</w:t>
      </w:r>
      <w:r>
        <w:rPr>
          <w:rFonts w:hint="eastAsia" w:ascii="宋体" w:hAnsi="宋体" w:eastAsia="宋体" w:cs="宋体"/>
          <w:b/>
          <w:bCs/>
          <w:sz w:val="24"/>
          <w:szCs w:val="24"/>
        </w:rPr>
        <w:t>方：</w:t>
      </w:r>
      <w:r>
        <w:rPr>
          <w:rFonts w:hint="eastAsia" w:ascii="宋体" w:hAnsi="宋体" w:eastAsia="宋体" w:cs="宋体"/>
          <w:b/>
          <w:bCs/>
          <w:spacing w:val="-1"/>
          <w:sz w:val="24"/>
          <w:szCs w:val="24"/>
          <w:u w:val="single"/>
          <w:lang w:val="en-US" w:eastAsia="zh-CN"/>
        </w:rPr>
        <w:t xml:space="preserve">      </w:t>
      </w:r>
    </w:p>
    <w:p w14:paraId="6536196F">
      <w:pPr>
        <w:pageBreakBefore w:val="0"/>
        <w:wordWrap/>
        <w:topLinePunct w:val="0"/>
        <w:bidi w:val="0"/>
        <w:adjustRightInd/>
        <w:snapToGrid/>
        <w:spacing w:beforeAutospacing="0" w:afterAutospacing="0" w:line="360" w:lineRule="auto"/>
        <w:ind w:left="0" w:leftChars="0" w:right="0" w:rightChars="0" w:firstLine="478" w:firstLineChars="200"/>
        <w:textAlignment w:val="auto"/>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乙方：</w:t>
      </w:r>
      <w:r>
        <w:rPr>
          <w:rFonts w:hint="eastAsia" w:ascii="宋体" w:hAnsi="宋体" w:eastAsia="宋体" w:cs="宋体"/>
          <w:b/>
          <w:bCs/>
          <w:spacing w:val="-1"/>
          <w:sz w:val="24"/>
          <w:szCs w:val="24"/>
          <w:u w:val="single"/>
          <w:lang w:val="en-US" w:eastAsia="zh-CN"/>
        </w:rPr>
        <w:t xml:space="preserve">      </w:t>
      </w:r>
      <w:r>
        <w:rPr>
          <w:rFonts w:hint="eastAsia" w:ascii="宋体" w:hAnsi="宋体" w:eastAsia="宋体" w:cs="宋体"/>
          <w:b/>
          <w:bCs/>
          <w:spacing w:val="-1"/>
          <w:sz w:val="24"/>
          <w:szCs w:val="24"/>
          <w:lang w:val="en-US" w:eastAsia="zh-CN"/>
        </w:rPr>
        <w:t xml:space="preserve"> </w:t>
      </w:r>
    </w:p>
    <w:p w14:paraId="2DFB5827">
      <w:pPr>
        <w:pStyle w:val="5"/>
        <w:pageBreakBefore w:val="0"/>
        <w:wordWrap/>
        <w:topLinePunct w:val="0"/>
        <w:bidi w:val="0"/>
        <w:adjustRightInd/>
        <w:snapToGrid/>
        <w:spacing w:beforeAutospacing="0" w:afterAutospacing="0" w:line="360" w:lineRule="auto"/>
        <w:ind w:left="0" w:leftChars="0" w:right="0" w:rightChars="0" w:firstLine="480" w:firstLineChars="200"/>
        <w:textAlignment w:val="auto"/>
        <w:rPr>
          <w:rFonts w:hint="eastAsia" w:ascii="宋体" w:hAnsi="宋体" w:eastAsia="宋体" w:cs="宋体"/>
          <w:sz w:val="24"/>
          <w:szCs w:val="24"/>
          <w:lang w:val="en-US"/>
        </w:rPr>
      </w:pPr>
    </w:p>
    <w:p w14:paraId="59185D39">
      <w:pPr>
        <w:pStyle w:val="6"/>
        <w:pageBreakBefore w:val="0"/>
        <w:wordWrap/>
        <w:topLinePunct w:val="0"/>
        <w:bidi w:val="0"/>
        <w:adjustRightInd/>
        <w:snapToGrid/>
        <w:spacing w:beforeAutospacing="0" w:after="0" w:afterAutospacing="0" w:line="360" w:lineRule="auto"/>
        <w:ind w:left="0" w:leftChars="0" w:right="0" w:rightChars="0" w:firstLine="432" w:firstLineChars="200"/>
        <w:textAlignment w:val="auto"/>
        <w:rPr>
          <w:rFonts w:hint="eastAsia" w:ascii="宋体" w:hAnsi="宋体" w:eastAsia="宋体" w:cs="宋体"/>
          <w:sz w:val="24"/>
          <w:szCs w:val="24"/>
        </w:rPr>
      </w:pPr>
      <w:r>
        <w:rPr>
          <w:rFonts w:hint="eastAsia" w:ascii="宋体" w:hAnsi="宋体" w:eastAsia="宋体" w:cs="宋体"/>
          <w:spacing w:val="-12"/>
          <w:sz w:val="24"/>
          <w:szCs w:val="24"/>
        </w:rPr>
        <w:t>根据《中华人民共和国民法典》、《中华人民共和国政府采购法》与项目行业有关的</w:t>
      </w:r>
      <w:r>
        <w:rPr>
          <w:rFonts w:hint="eastAsia" w:ascii="宋体" w:hAnsi="宋体" w:eastAsia="宋体" w:cs="宋体"/>
          <w:spacing w:val="-4"/>
          <w:sz w:val="24"/>
          <w:szCs w:val="24"/>
        </w:rPr>
        <w:t>法律法规，以及本项目</w:t>
      </w:r>
      <w:r>
        <w:rPr>
          <w:rFonts w:hint="eastAsia" w:ascii="宋体" w:hAnsi="宋体" w:eastAsia="宋体" w:cs="宋体"/>
          <w:spacing w:val="-4"/>
          <w:sz w:val="24"/>
          <w:szCs w:val="24"/>
          <w:u w:val="single"/>
          <w:lang w:val="en-US" w:eastAsia="zh-CN"/>
        </w:rPr>
        <w:t xml:space="preserve">    （项目名称）    </w:t>
      </w:r>
      <w:r>
        <w:rPr>
          <w:rFonts w:hint="eastAsia" w:ascii="宋体" w:hAnsi="宋体" w:eastAsia="宋体" w:cs="宋体"/>
          <w:spacing w:val="-1"/>
          <w:sz w:val="24"/>
          <w:szCs w:val="24"/>
        </w:rPr>
        <w:t>相关采购要求的规定，合同双方就乙方向</w:t>
      </w:r>
      <w:r>
        <w:rPr>
          <w:rFonts w:hint="eastAsia" w:ascii="宋体" w:hAnsi="宋体" w:eastAsia="宋体" w:cs="宋体"/>
          <w:spacing w:val="-1"/>
          <w:sz w:val="24"/>
          <w:szCs w:val="24"/>
          <w:lang w:eastAsia="zh-CN"/>
        </w:rPr>
        <w:t>甲方</w:t>
      </w:r>
      <w:r>
        <w:rPr>
          <w:rFonts w:hint="eastAsia" w:ascii="宋体" w:hAnsi="宋体" w:eastAsia="宋体" w:cs="宋体"/>
          <w:spacing w:val="-1"/>
          <w:sz w:val="24"/>
          <w:szCs w:val="24"/>
        </w:rPr>
        <w:t>提供</w:t>
      </w:r>
      <w:r>
        <w:rPr>
          <w:rFonts w:hint="eastAsia" w:ascii="宋体" w:hAnsi="宋体" w:eastAsia="宋体" w:cs="宋体"/>
          <w:spacing w:val="-1"/>
          <w:sz w:val="24"/>
          <w:szCs w:val="24"/>
          <w:lang w:val="en-US" w:eastAsia="zh-CN"/>
        </w:rPr>
        <w:t>本项目相关</w:t>
      </w:r>
      <w:r>
        <w:rPr>
          <w:rFonts w:hint="eastAsia" w:ascii="宋体" w:hAnsi="宋体" w:eastAsia="宋体" w:cs="宋体"/>
          <w:sz w:val="24"/>
          <w:szCs w:val="24"/>
          <w:lang w:val="en-US" w:eastAsia="zh-CN"/>
        </w:rPr>
        <w:t>服务一事，经</w:t>
      </w:r>
      <w:r>
        <w:rPr>
          <w:rFonts w:hint="eastAsia" w:ascii="宋体" w:hAnsi="宋体" w:eastAsia="宋体" w:cs="宋体"/>
          <w:sz w:val="24"/>
          <w:szCs w:val="24"/>
        </w:rPr>
        <w:t>协商一致，</w:t>
      </w:r>
      <w:r>
        <w:rPr>
          <w:rFonts w:hint="eastAsia" w:ascii="宋体" w:hAnsi="宋体" w:eastAsia="宋体" w:cs="宋体"/>
          <w:sz w:val="24"/>
          <w:szCs w:val="24"/>
          <w:lang w:val="en-US" w:eastAsia="zh-CN"/>
        </w:rPr>
        <w:t>达成如下合同条款</w:t>
      </w:r>
      <w:bookmarkStart w:id="5" w:name="一、合同标的物内容、数量及单价（以竞争性磋商响应文件正本和澄清表〈函〉为准）"/>
      <w:bookmarkEnd w:id="5"/>
      <w:r>
        <w:rPr>
          <w:rFonts w:hint="eastAsia" w:ascii="宋体" w:hAnsi="宋体" w:eastAsia="宋体" w:cs="宋体"/>
          <w:sz w:val="24"/>
          <w:szCs w:val="24"/>
          <w:lang w:val="en-US" w:eastAsia="zh-CN"/>
        </w:rPr>
        <w:t>：</w:t>
      </w:r>
    </w:p>
    <w:p w14:paraId="1E8C9320">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360" w:lineRule="auto"/>
        <w:ind w:leftChars="200" w:right="0" w:rightChars="0"/>
        <w:textAlignment w:val="auto"/>
        <w:rPr>
          <w:rFonts w:hint="eastAsia" w:ascii="宋体" w:hAnsi="宋体" w:eastAsia="宋体" w:cs="宋体"/>
          <w:b/>
          <w:sz w:val="24"/>
          <w:szCs w:val="24"/>
          <w:lang w:val="en-US" w:eastAsia="zh-CN"/>
        </w:rPr>
      </w:pPr>
    </w:p>
    <w:p w14:paraId="7615CDA2">
      <w:pPr>
        <w:pStyle w:val="6"/>
        <w:pageBreakBefore w:val="0"/>
        <w:wordWrap/>
        <w:topLinePunct w:val="0"/>
        <w:bidi w:val="0"/>
        <w:adjustRightInd/>
        <w:snapToGrid/>
        <w:spacing w:beforeAutospacing="0" w:after="0" w:afterAutospacing="0"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一、项目概况</w:t>
      </w:r>
    </w:p>
    <w:p w14:paraId="05FFA54E">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根据商务部《数字商务三年行动计划2024-2026年》要求，培育壮大新兴消费，实施数字消费提升行动，打造“</w:t>
      </w:r>
      <w:r>
        <w:rPr>
          <w:rFonts w:hint="default" w:ascii="宋体" w:hAnsi="宋体" w:eastAsia="宋体" w:cs="宋体"/>
          <w:sz w:val="24"/>
          <w:szCs w:val="24"/>
        </w:rPr>
        <w:t>4+N</w:t>
      </w:r>
      <w:r>
        <w:rPr>
          <w:rFonts w:hint="eastAsia" w:ascii="宋体" w:hAnsi="宋体" w:eastAsia="宋体" w:cs="宋体"/>
          <w:sz w:val="24"/>
          <w:szCs w:val="24"/>
        </w:rPr>
        <w:t>”网络消费矩阵，开展全国性网络促消费活动，举办第八届全国双品网购节陕西（西安）专场活动，以“品牌消费、品质消费”为核心，通过政府引导、市场运作、大众参与的方式，整合全市优质商业资源，打造一场覆盖全域、全民共享的数字消费盛宴。</w:t>
      </w:r>
    </w:p>
    <w:p w14:paraId="3C3A980A">
      <w:pPr>
        <w:pStyle w:val="6"/>
        <w:pageBreakBefore w:val="0"/>
        <w:wordWrap/>
        <w:topLinePunct w:val="0"/>
        <w:bidi w:val="0"/>
        <w:adjustRightInd/>
        <w:snapToGrid/>
        <w:spacing w:beforeAutospacing="0" w:after="0" w:afterAutospacing="0"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二、服务内容</w:t>
      </w:r>
    </w:p>
    <w:p w14:paraId="1DAACB49">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第八届双品网购节陕西（西安）专场活动，拟于</w:t>
      </w:r>
      <w:r>
        <w:rPr>
          <w:rFonts w:hint="default" w:ascii="宋体" w:hAnsi="宋体" w:eastAsia="宋体" w:cs="宋体"/>
          <w:sz w:val="24"/>
          <w:szCs w:val="24"/>
        </w:rPr>
        <w:t>2026</w:t>
      </w:r>
      <w:r>
        <w:rPr>
          <w:rFonts w:hint="eastAsia" w:ascii="宋体" w:hAnsi="宋体" w:eastAsia="宋体" w:cs="宋体"/>
          <w:sz w:val="24"/>
          <w:szCs w:val="24"/>
        </w:rPr>
        <w:t>年</w:t>
      </w:r>
      <w:r>
        <w:rPr>
          <w:rFonts w:hint="default" w:ascii="宋体" w:hAnsi="宋体" w:eastAsia="宋体" w:cs="宋体"/>
          <w:sz w:val="24"/>
          <w:szCs w:val="24"/>
        </w:rPr>
        <w:t>4</w:t>
      </w:r>
      <w:r>
        <w:rPr>
          <w:rFonts w:hint="eastAsia" w:ascii="宋体" w:hAnsi="宋体" w:eastAsia="宋体" w:cs="宋体"/>
          <w:sz w:val="24"/>
          <w:szCs w:val="24"/>
        </w:rPr>
        <w:t>月</w:t>
      </w:r>
      <w:r>
        <w:rPr>
          <w:rFonts w:hint="default" w:ascii="宋体" w:hAnsi="宋体" w:eastAsia="宋体" w:cs="宋体"/>
          <w:sz w:val="24"/>
          <w:szCs w:val="24"/>
        </w:rPr>
        <w:t>28</w:t>
      </w:r>
      <w:r>
        <w:rPr>
          <w:rFonts w:hint="eastAsia" w:ascii="宋体" w:hAnsi="宋体" w:eastAsia="宋体" w:cs="宋体"/>
          <w:sz w:val="24"/>
          <w:szCs w:val="24"/>
        </w:rPr>
        <w:t>日</w:t>
      </w:r>
      <w:r>
        <w:rPr>
          <w:rFonts w:hint="default" w:ascii="宋体" w:hAnsi="宋体" w:eastAsia="宋体" w:cs="宋体"/>
          <w:sz w:val="24"/>
          <w:szCs w:val="24"/>
        </w:rPr>
        <w:t>-5</w:t>
      </w:r>
      <w:r>
        <w:rPr>
          <w:rFonts w:hint="eastAsia" w:ascii="宋体" w:hAnsi="宋体" w:eastAsia="宋体" w:cs="宋体"/>
          <w:sz w:val="24"/>
          <w:szCs w:val="24"/>
        </w:rPr>
        <w:t>月</w:t>
      </w:r>
      <w:r>
        <w:rPr>
          <w:rFonts w:hint="default" w:ascii="宋体" w:hAnsi="宋体" w:eastAsia="宋体" w:cs="宋体"/>
          <w:sz w:val="24"/>
          <w:szCs w:val="24"/>
        </w:rPr>
        <w:t>12</w:t>
      </w:r>
      <w:r>
        <w:rPr>
          <w:rFonts w:hint="eastAsia" w:ascii="宋体" w:hAnsi="宋体" w:eastAsia="宋体" w:cs="宋体"/>
          <w:sz w:val="24"/>
          <w:szCs w:val="24"/>
        </w:rPr>
        <w:t>日在西安市举办，活动本着环保、简约、绿色的原则，整体要突出我市品牌品质商品和人文特点，展示宣传西安特色产品，西安老字号、中亚跨境产品、新能源汽车、国补换新生活商品等多领域名优产品，扩大我市品牌品质产品的影响力，丰富西安市消费市场，激发市民消费热情，推动我市经济高质量发展。</w:t>
      </w:r>
    </w:p>
    <w:p w14:paraId="1C7CE711">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服务内容主要包括：搭建网络平台活动专区、电商平台直播带货与产品促销、电商业务培训、线下商品市集、产品销售渠道对接会、进社区活动等内容在内的活动整体策划设计及实施，活动所需所有场地租赁及配套设施（包括活动所需的展位搭建、现场氛围布置，现场布置所需的物料制作安装与运输等）；网络平台活动专区搭建；活动服务，包括保障活动所需的礼仪、安保、保洁等服务工作人员。</w:t>
      </w:r>
    </w:p>
    <w:p w14:paraId="52CDFD52">
      <w:pPr>
        <w:pStyle w:val="6"/>
        <w:pageBreakBefore w:val="0"/>
        <w:wordWrap/>
        <w:topLinePunct w:val="0"/>
        <w:bidi w:val="0"/>
        <w:adjustRightInd/>
        <w:snapToGrid/>
        <w:spacing w:beforeAutospacing="0" w:after="0" w:afterAutospacing="0"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三、技术要求</w:t>
      </w:r>
    </w:p>
    <w:p w14:paraId="67D5E28A">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1.</w:t>
      </w:r>
      <w:r>
        <w:rPr>
          <w:rFonts w:hint="eastAsia" w:ascii="宋体" w:hAnsi="宋体" w:eastAsia="宋体" w:cs="宋体"/>
          <w:sz w:val="24"/>
          <w:szCs w:val="24"/>
        </w:rPr>
        <w:t>第八届双品网购节陕西（西安）专场活动本着环保、简约、绿色的原则，整体要突出我市品牌、品质商品和人文特点。</w:t>
      </w:r>
    </w:p>
    <w:p w14:paraId="27603659">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2.</w:t>
      </w:r>
      <w:r>
        <w:rPr>
          <w:rFonts w:hint="eastAsia" w:ascii="宋体" w:hAnsi="宋体" w:eastAsia="宋体" w:cs="宋体"/>
          <w:sz w:val="24"/>
          <w:szCs w:val="24"/>
        </w:rPr>
        <w:t>搭建网络平台活动专区。联合头部电商平台，搭建双品网购节陕西（西安）专场活动专区展销西安特色产品。</w:t>
      </w:r>
    </w:p>
    <w:p w14:paraId="64759392">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3.组织线下市集活动。现场搭建启动仪式场地，设置50个线下市集展位，共分为1个主会场区域和4大展区。展销西安老字号、中亚跨境产品等多领域名优产品，及家电、数码智能产品、新能源汽车等商品。</w:t>
      </w:r>
    </w:p>
    <w:p w14:paraId="57DC2C54">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4.组织产品销售渠道对接会。组织行业协会、电商平台、直播平台等不少于50家企业开展商业交流、资源对接，组织2次。</w:t>
      </w:r>
    </w:p>
    <w:p w14:paraId="6BF8DB94">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5.</w:t>
      </w:r>
      <w:r>
        <w:rPr>
          <w:rFonts w:hint="eastAsia" w:ascii="宋体" w:hAnsi="宋体" w:eastAsia="宋体" w:cs="宋体"/>
          <w:sz w:val="24"/>
          <w:szCs w:val="24"/>
        </w:rPr>
        <w:t>开展直播带货与电商促销活动。活动期间，开展直播带货、电商促销活动不少于</w:t>
      </w:r>
      <w:r>
        <w:rPr>
          <w:rFonts w:hint="default" w:ascii="宋体" w:hAnsi="宋体" w:eastAsia="宋体" w:cs="宋体"/>
          <w:sz w:val="24"/>
          <w:szCs w:val="24"/>
        </w:rPr>
        <w:t>100</w:t>
      </w:r>
      <w:r>
        <w:rPr>
          <w:rFonts w:hint="eastAsia" w:ascii="宋体" w:hAnsi="宋体" w:eastAsia="宋体" w:cs="宋体"/>
          <w:sz w:val="24"/>
          <w:szCs w:val="24"/>
        </w:rPr>
        <w:t>场。</w:t>
      </w:r>
      <w:bookmarkStart w:id="12" w:name="_GoBack"/>
      <w:bookmarkEnd w:id="12"/>
    </w:p>
    <w:p w14:paraId="6A50FD39">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6.</w:t>
      </w:r>
      <w:r>
        <w:rPr>
          <w:rFonts w:hint="eastAsia" w:ascii="宋体" w:hAnsi="宋体" w:eastAsia="宋体" w:cs="宋体"/>
          <w:sz w:val="24"/>
          <w:szCs w:val="24"/>
        </w:rPr>
        <w:t>组织电商训练营。线上直播观看人数</w:t>
      </w:r>
      <w:r>
        <w:rPr>
          <w:rFonts w:hint="default" w:ascii="宋体" w:hAnsi="宋体" w:eastAsia="宋体" w:cs="宋体"/>
          <w:sz w:val="24"/>
          <w:szCs w:val="24"/>
        </w:rPr>
        <w:t>1000+</w:t>
      </w:r>
      <w:r>
        <w:rPr>
          <w:rFonts w:hint="eastAsia" w:ascii="宋体" w:hAnsi="宋体" w:eastAsia="宋体" w:cs="宋体"/>
          <w:sz w:val="24"/>
          <w:szCs w:val="24"/>
        </w:rPr>
        <w:t>，线下实训</w:t>
      </w:r>
      <w:r>
        <w:rPr>
          <w:rFonts w:hint="default" w:ascii="宋体" w:hAnsi="宋体" w:eastAsia="宋体" w:cs="宋体"/>
          <w:sz w:val="24"/>
          <w:szCs w:val="24"/>
        </w:rPr>
        <w:t>100</w:t>
      </w:r>
      <w:r>
        <w:rPr>
          <w:rFonts w:hint="eastAsia" w:ascii="宋体" w:hAnsi="宋体" w:eastAsia="宋体" w:cs="宋体"/>
          <w:sz w:val="24"/>
          <w:szCs w:val="24"/>
        </w:rPr>
        <w:t>人。</w:t>
      </w:r>
    </w:p>
    <w:p w14:paraId="390E17AE">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7.</w:t>
      </w:r>
      <w:r>
        <w:rPr>
          <w:rFonts w:hint="eastAsia" w:ascii="宋体" w:hAnsi="宋体" w:eastAsia="宋体" w:cs="宋体"/>
          <w:sz w:val="24"/>
          <w:szCs w:val="24"/>
        </w:rPr>
        <w:t>开展进社区活动。在我市选取</w:t>
      </w:r>
      <w:r>
        <w:rPr>
          <w:rFonts w:hint="default" w:ascii="宋体" w:hAnsi="宋体" w:eastAsia="宋体" w:cs="宋体"/>
          <w:sz w:val="24"/>
          <w:szCs w:val="24"/>
        </w:rPr>
        <w:t>5</w:t>
      </w:r>
      <w:r>
        <w:rPr>
          <w:rFonts w:hint="eastAsia" w:ascii="宋体" w:hAnsi="宋体" w:eastAsia="宋体" w:cs="宋体"/>
          <w:sz w:val="24"/>
          <w:szCs w:val="24"/>
        </w:rPr>
        <w:t>个社区，每次活动布设不少于</w:t>
      </w:r>
      <w:r>
        <w:rPr>
          <w:rFonts w:hint="default" w:ascii="宋体" w:hAnsi="宋体" w:eastAsia="宋体" w:cs="宋体"/>
          <w:sz w:val="24"/>
          <w:szCs w:val="24"/>
        </w:rPr>
        <w:t>25</w:t>
      </w:r>
      <w:r>
        <w:rPr>
          <w:rFonts w:hint="eastAsia" w:ascii="宋体" w:hAnsi="宋体" w:eastAsia="宋体" w:cs="宋体"/>
          <w:sz w:val="24"/>
          <w:szCs w:val="24"/>
        </w:rPr>
        <w:t>个展台，联合企业共同进驻，将商品直接送到市民家门口。</w:t>
      </w:r>
    </w:p>
    <w:p w14:paraId="1A085E70">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8.</w:t>
      </w:r>
      <w:r>
        <w:rPr>
          <w:rFonts w:hint="eastAsia" w:ascii="宋体" w:hAnsi="宋体" w:eastAsia="宋体" w:cs="宋体"/>
          <w:sz w:val="24"/>
          <w:szCs w:val="24"/>
        </w:rPr>
        <w:t>邀请本地博主、达人通过抖音、小红书、视频号等新媒体账号推广活动，积极营造浓厚活动氛围。总计曝光量不少于</w:t>
      </w:r>
      <w:r>
        <w:rPr>
          <w:rFonts w:hint="default" w:ascii="宋体" w:hAnsi="宋体" w:eastAsia="宋体" w:cs="宋体"/>
          <w:sz w:val="24"/>
          <w:szCs w:val="24"/>
        </w:rPr>
        <w:t>500</w:t>
      </w:r>
      <w:r>
        <w:rPr>
          <w:rFonts w:hint="eastAsia" w:ascii="宋体" w:hAnsi="宋体" w:eastAsia="宋体" w:cs="宋体"/>
          <w:sz w:val="24"/>
          <w:szCs w:val="24"/>
        </w:rPr>
        <w:t>万。</w:t>
      </w:r>
    </w:p>
    <w:p w14:paraId="44DA3ED9">
      <w:pPr>
        <w:pStyle w:val="6"/>
        <w:pageBreakBefore w:val="0"/>
        <w:wordWrap/>
        <w:topLinePunct w:val="0"/>
        <w:bidi w:val="0"/>
        <w:adjustRightInd/>
        <w:snapToGrid/>
        <w:spacing w:beforeAutospacing="0" w:after="0" w:afterAutospacing="0"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四、服务要求</w:t>
      </w:r>
    </w:p>
    <w:p w14:paraId="14883699">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1.</w:t>
      </w:r>
      <w:r>
        <w:rPr>
          <w:rFonts w:hint="eastAsia" w:ascii="宋体" w:hAnsi="宋体" w:eastAsia="宋体" w:cs="宋体"/>
          <w:sz w:val="24"/>
          <w:szCs w:val="24"/>
        </w:rPr>
        <w:t>按时完成第八届双品网购节西安专场活动策划与整体设计，提交审核，依意见修改至采购人认可。</w:t>
      </w:r>
    </w:p>
    <w:p w14:paraId="3AF66D2F">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2.</w:t>
      </w:r>
      <w:r>
        <w:rPr>
          <w:rFonts w:hint="eastAsia" w:ascii="宋体" w:hAnsi="宋体" w:eastAsia="宋体" w:cs="宋体"/>
          <w:sz w:val="24"/>
          <w:szCs w:val="24"/>
        </w:rPr>
        <w:t>活动全程安排专人现场协调，严格落实方案，保障展示效果。</w:t>
      </w:r>
    </w:p>
    <w:p w14:paraId="45FB44FF">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3.</w:t>
      </w:r>
      <w:r>
        <w:rPr>
          <w:rFonts w:hint="eastAsia" w:ascii="宋体" w:hAnsi="宋体" w:eastAsia="宋体" w:cs="宋体"/>
          <w:sz w:val="24"/>
          <w:szCs w:val="24"/>
        </w:rPr>
        <w:t>采购一口价，涵盖场地租赁、策划、搭建、会议服务、物料、印刷、运输、安装、人工、税金等所有成本。</w:t>
      </w:r>
    </w:p>
    <w:p w14:paraId="73F26411">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default" w:ascii="宋体" w:hAnsi="宋体" w:eastAsia="宋体" w:cs="宋体"/>
          <w:sz w:val="24"/>
          <w:szCs w:val="24"/>
        </w:rPr>
        <w:t>4.</w:t>
      </w:r>
      <w:r>
        <w:rPr>
          <w:rFonts w:hint="eastAsia" w:ascii="宋体" w:hAnsi="宋体" w:eastAsia="宋体" w:cs="宋体"/>
          <w:sz w:val="24"/>
          <w:szCs w:val="24"/>
        </w:rPr>
        <w:t>制定应急预案，严守安保消防规定，按时保质完成活动各项任务，确保活动组织得力、安全有序开展，切实达到预期目标。</w:t>
      </w:r>
    </w:p>
    <w:p w14:paraId="61DE4FC8">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360" w:lineRule="auto"/>
        <w:ind w:leftChars="200" w:right="0" w:rightChars="0"/>
        <w:textAlignment w:val="auto"/>
        <w:rPr>
          <w:rFonts w:hint="eastAsia" w:ascii="宋体" w:hAnsi="宋体" w:eastAsia="宋体" w:cs="宋体"/>
          <w:b/>
          <w:sz w:val="24"/>
          <w:szCs w:val="24"/>
          <w:lang w:val="en-US" w:eastAsia="zh-CN"/>
        </w:rPr>
      </w:pPr>
    </w:p>
    <w:p w14:paraId="47FDC8DB">
      <w:pPr>
        <w:pStyle w:val="6"/>
        <w:keepNext w:val="0"/>
        <w:keepLines w:val="0"/>
        <w:pageBreakBefore w:val="0"/>
        <w:widowControl w:val="0"/>
        <w:numPr>
          <w:ilvl w:val="0"/>
          <w:numId w:val="1"/>
        </w:numPr>
        <w:kinsoku/>
        <w:wordWrap/>
        <w:overflowPunct/>
        <w:topLinePunct w:val="0"/>
        <w:autoSpaceDE/>
        <w:autoSpaceDN/>
        <w:bidi w:val="0"/>
        <w:adjustRightInd/>
        <w:snapToGrid/>
        <w:spacing w:beforeAutospacing="0" w:after="0" w:afterAutospacing="0" w:line="360" w:lineRule="auto"/>
        <w:ind w:leftChars="200" w:right="0" w:rightChars="0"/>
        <w:textAlignment w:val="auto"/>
        <w:rPr>
          <w:rFonts w:hint="eastAsia" w:ascii="宋体" w:hAnsi="宋体" w:cs="宋体"/>
          <w:b/>
          <w:sz w:val="24"/>
          <w:szCs w:val="24"/>
          <w:lang w:val="en-US" w:eastAsia="zh-CN"/>
        </w:rPr>
      </w:pPr>
      <w:r>
        <w:rPr>
          <w:rFonts w:hint="eastAsia" w:ascii="宋体" w:hAnsi="宋体" w:cs="宋体"/>
          <w:b/>
          <w:sz w:val="24"/>
          <w:szCs w:val="24"/>
          <w:lang w:val="en-US" w:eastAsia="zh-CN"/>
        </w:rPr>
        <w:t>商务要求</w:t>
      </w:r>
    </w:p>
    <w:p w14:paraId="349FF920">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（一）服务期限：</w:t>
      </w:r>
      <w:r>
        <w:rPr>
          <w:rFonts w:hint="eastAsia" w:hAnsi="宋体" w:cs="宋体"/>
          <w:kern w:val="2"/>
          <w:sz w:val="24"/>
          <w:szCs w:val="24"/>
          <w:lang w:val="en-US" w:eastAsia="zh-CN" w:bidi="ar-SA"/>
        </w:rPr>
        <w:t>自合同签订之日起至2026年5月30日</w:t>
      </w:r>
    </w:p>
    <w:p w14:paraId="68B36678">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（二）服务地点：</w:t>
      </w:r>
      <w:bookmarkStart w:id="6" w:name="_Toc167714038"/>
      <w:bookmarkStart w:id="7" w:name="_Toc167715235"/>
      <w:bookmarkStart w:id="8" w:name="_Toc167712840"/>
      <w:r>
        <w:rPr>
          <w:rFonts w:hint="eastAsia" w:ascii="宋体" w:hAnsi="宋体" w:eastAsia="宋体" w:cs="宋体"/>
          <w:kern w:val="2"/>
          <w:sz w:val="24"/>
          <w:szCs w:val="24"/>
          <w:lang w:val="en-US" w:eastAsia="zh-CN" w:bidi="ar-SA"/>
        </w:rPr>
        <w:t>陕西省西安市</w:t>
      </w:r>
    </w:p>
    <w:bookmarkEnd w:id="6"/>
    <w:bookmarkEnd w:id="7"/>
    <w:bookmarkEnd w:id="8"/>
    <w:p w14:paraId="54E53B8D">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（三）款项结算</w:t>
      </w:r>
    </w:p>
    <w:p w14:paraId="547E1918">
      <w:pPr>
        <w:keepNext w:val="0"/>
        <w:keepLines w:val="0"/>
        <w:pageBreakBefore w:val="0"/>
        <w:wordWrap/>
        <w:overflowPunct/>
        <w:topLinePunct w:val="0"/>
        <w:bidi w:val="0"/>
        <w:spacing w:line="560" w:lineRule="exact"/>
        <w:ind w:left="0" w:right="0" w:rightChars="0" w:firstLine="482" w:firstLineChars="200"/>
        <w:rPr>
          <w:rFonts w:hint="eastAsia" w:ascii="宋体" w:hAnsi="宋体" w:eastAsia="宋体" w:cs="宋体"/>
          <w:kern w:val="2"/>
          <w:sz w:val="24"/>
          <w:szCs w:val="24"/>
          <w:lang w:val="en-US" w:eastAsia="zh-CN" w:bidi="ar-SA"/>
        </w:rPr>
      </w:pPr>
      <w:r>
        <w:rPr>
          <w:rFonts w:hint="eastAsia" w:ascii="宋体" w:hAnsi="宋体" w:cs="宋体"/>
          <w:b/>
          <w:sz w:val="24"/>
          <w:szCs w:val="24"/>
          <w:lang w:val="en-US" w:eastAsia="zh-CN"/>
        </w:rPr>
        <w:t xml:space="preserve">     </w:t>
      </w:r>
      <w:r>
        <w:rPr>
          <w:rFonts w:hint="eastAsia" w:ascii="宋体" w:hAnsi="宋体" w:eastAsia="宋体" w:cs="宋体"/>
          <w:kern w:val="2"/>
          <w:sz w:val="24"/>
          <w:szCs w:val="24"/>
          <w:lang w:val="en-US" w:eastAsia="zh-CN" w:bidi="ar-SA"/>
        </w:rPr>
        <w:t>合同签订后1</w:t>
      </w:r>
      <w:r>
        <w:rPr>
          <w:rFonts w:hint="eastAsia" w:hAnsi="宋体" w:cs="宋体"/>
          <w:kern w:val="2"/>
          <w:sz w:val="24"/>
          <w:szCs w:val="24"/>
          <w:lang w:val="en-US" w:eastAsia="zh-CN" w:bidi="ar-SA"/>
        </w:rPr>
        <w:t>5</w:t>
      </w:r>
      <w:r>
        <w:rPr>
          <w:rFonts w:hint="eastAsia" w:ascii="宋体" w:hAnsi="宋体" w:eastAsia="宋体" w:cs="宋体"/>
          <w:kern w:val="2"/>
          <w:sz w:val="24"/>
          <w:szCs w:val="24"/>
          <w:lang w:val="en-US" w:eastAsia="zh-CN" w:bidi="ar-SA"/>
        </w:rPr>
        <w:t>日内支付合同总价款的60%。执行完毕，经我局验收合格达支付条件后1</w:t>
      </w:r>
      <w:r>
        <w:rPr>
          <w:rFonts w:hint="eastAsia" w:hAnsi="宋体" w:cs="宋体"/>
          <w:kern w:val="2"/>
          <w:sz w:val="24"/>
          <w:szCs w:val="24"/>
          <w:lang w:val="en-US" w:eastAsia="zh-CN" w:bidi="ar-SA"/>
        </w:rPr>
        <w:t>5</w:t>
      </w:r>
      <w:r>
        <w:rPr>
          <w:rFonts w:hint="eastAsia" w:ascii="宋体" w:hAnsi="宋体" w:eastAsia="宋体" w:cs="宋体"/>
          <w:kern w:val="2"/>
          <w:sz w:val="24"/>
          <w:szCs w:val="24"/>
          <w:lang w:val="en-US" w:eastAsia="zh-CN" w:bidi="ar-SA"/>
        </w:rPr>
        <w:t>日内支付合同总价款的40%。</w:t>
      </w:r>
    </w:p>
    <w:p w14:paraId="17B3A7DA">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360" w:lineRule="auto"/>
        <w:ind w:leftChars="200" w:right="0" w:rightChars="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六、进度要求</w:t>
      </w:r>
    </w:p>
    <w:p w14:paraId="311045B1">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1.活动结束后</w:t>
      </w:r>
      <w:r>
        <w:rPr>
          <w:rFonts w:hint="default" w:ascii="宋体" w:hAnsi="宋体" w:eastAsia="宋体" w:cs="宋体"/>
          <w:sz w:val="24"/>
          <w:szCs w:val="24"/>
        </w:rPr>
        <w:t>20</w:t>
      </w:r>
      <w:r>
        <w:rPr>
          <w:rFonts w:hint="eastAsia" w:ascii="宋体" w:hAnsi="宋体" w:eastAsia="宋体" w:cs="宋体"/>
          <w:sz w:val="24"/>
          <w:szCs w:val="24"/>
        </w:rPr>
        <w:t>日内完成资料整理、总结等工作。</w:t>
      </w:r>
    </w:p>
    <w:p w14:paraId="6D39AA1D">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360" w:lineRule="auto"/>
        <w:ind w:leftChars="200" w:right="0" w:rightChars="0"/>
        <w:textAlignment w:val="auto"/>
        <w:rPr>
          <w:rFonts w:hint="eastAsia" w:ascii="宋体" w:hAnsi="宋体" w:eastAsia="宋体" w:cs="宋体"/>
          <w:b/>
          <w:sz w:val="24"/>
          <w:szCs w:val="24"/>
          <w:lang w:val="en-US" w:eastAsia="zh-CN"/>
        </w:rPr>
      </w:pPr>
      <w:r>
        <w:rPr>
          <w:rFonts w:hint="eastAsia" w:ascii="宋体" w:hAnsi="宋体" w:cs="宋体"/>
          <w:b/>
          <w:sz w:val="24"/>
          <w:szCs w:val="24"/>
          <w:lang w:val="en-US" w:eastAsia="zh-CN"/>
        </w:rPr>
        <w:t>七</w:t>
      </w:r>
      <w:r>
        <w:rPr>
          <w:rFonts w:hint="eastAsia" w:ascii="宋体" w:hAnsi="宋体" w:eastAsia="宋体" w:cs="宋体"/>
          <w:b/>
          <w:sz w:val="24"/>
          <w:szCs w:val="24"/>
          <w:lang w:val="en-US" w:eastAsia="zh-CN"/>
        </w:rPr>
        <w:t>、合同价款</w:t>
      </w:r>
    </w:p>
    <w:p w14:paraId="76CCE7E5">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本合同为总价合同，各项服务的合同总价为人民币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377BBFF">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pacing w:val="-17"/>
          <w:sz w:val="24"/>
          <w:szCs w:val="24"/>
        </w:rPr>
        <w:t>合同</w:t>
      </w:r>
      <w:r>
        <w:rPr>
          <w:rFonts w:hint="eastAsia" w:ascii="宋体" w:hAnsi="宋体" w:eastAsia="宋体" w:cs="宋体"/>
          <w:spacing w:val="-17"/>
          <w:sz w:val="24"/>
          <w:szCs w:val="24"/>
          <w:lang w:val="en-US" w:eastAsia="zh-CN"/>
        </w:rPr>
        <w:t>总</w:t>
      </w:r>
      <w:r>
        <w:rPr>
          <w:rFonts w:hint="eastAsia" w:ascii="宋体" w:hAnsi="宋体" w:eastAsia="宋体" w:cs="宋体"/>
          <w:spacing w:val="-17"/>
          <w:sz w:val="24"/>
          <w:szCs w:val="24"/>
        </w:rPr>
        <w:t>价</w:t>
      </w:r>
      <w:r>
        <w:rPr>
          <w:rFonts w:hint="eastAsia" w:ascii="宋体" w:hAnsi="宋体" w:eastAsia="宋体" w:cs="宋体"/>
          <w:spacing w:val="-17"/>
          <w:sz w:val="24"/>
          <w:szCs w:val="24"/>
          <w:lang w:val="en-US" w:eastAsia="zh-CN"/>
        </w:rPr>
        <w:t>为含税价，</w:t>
      </w:r>
      <w:r>
        <w:rPr>
          <w:rFonts w:hint="eastAsia" w:ascii="宋体" w:hAnsi="宋体" w:eastAsia="宋体" w:cs="宋体"/>
          <w:spacing w:val="-17"/>
          <w:sz w:val="24"/>
          <w:szCs w:val="24"/>
        </w:rPr>
        <w:t>包括</w:t>
      </w:r>
      <w:r>
        <w:rPr>
          <w:rFonts w:hint="eastAsia" w:ascii="宋体" w:hAnsi="宋体" w:eastAsia="宋体" w:cs="宋体"/>
          <w:spacing w:val="-10"/>
          <w:sz w:val="24"/>
          <w:szCs w:val="24"/>
        </w:rPr>
        <w:t>税金等</w:t>
      </w:r>
      <w:r>
        <w:rPr>
          <w:rFonts w:hint="eastAsia" w:ascii="宋体" w:hAnsi="宋体" w:eastAsia="宋体" w:cs="宋体"/>
          <w:spacing w:val="-10"/>
          <w:sz w:val="24"/>
          <w:szCs w:val="24"/>
          <w:lang w:val="en-US" w:eastAsia="zh-CN"/>
        </w:rPr>
        <w:t>完成本合同项下全部服务项目及义务的</w:t>
      </w:r>
      <w:r>
        <w:rPr>
          <w:rFonts w:hint="eastAsia" w:ascii="宋体" w:hAnsi="宋体" w:eastAsia="宋体" w:cs="宋体"/>
          <w:spacing w:val="-10"/>
          <w:sz w:val="24"/>
          <w:szCs w:val="24"/>
        </w:rPr>
        <w:t>其他一切相关费用。</w:t>
      </w:r>
    </w:p>
    <w:p w14:paraId="026A792B">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2" w:firstLineChars="200"/>
        <w:textAlignment w:val="auto"/>
        <w:rPr>
          <w:rFonts w:hint="eastAsia" w:ascii="宋体" w:hAnsi="宋体" w:eastAsia="宋体" w:cs="宋体"/>
          <w:b/>
          <w:bCs/>
          <w:kern w:val="2"/>
          <w:sz w:val="24"/>
          <w:szCs w:val="24"/>
          <w:lang w:val="en-US" w:eastAsia="zh-CN" w:bidi="ar-SA"/>
        </w:rPr>
      </w:pPr>
      <w:bookmarkStart w:id="9" w:name="九、合同争议解决的方式"/>
      <w:bookmarkEnd w:id="9"/>
      <w:bookmarkStart w:id="10" w:name="三、款项结算"/>
      <w:bookmarkEnd w:id="10"/>
      <w:r>
        <w:rPr>
          <w:rFonts w:hint="eastAsia" w:hAnsi="宋体" w:cs="宋体"/>
          <w:b/>
          <w:bCs/>
          <w:kern w:val="2"/>
          <w:sz w:val="24"/>
          <w:szCs w:val="24"/>
          <w:lang w:val="en-US" w:eastAsia="zh-CN" w:bidi="ar-SA"/>
        </w:rPr>
        <w:t>八、</w:t>
      </w:r>
      <w:r>
        <w:rPr>
          <w:rFonts w:hint="eastAsia" w:ascii="宋体" w:hAnsi="宋体" w:eastAsia="宋体" w:cs="宋体"/>
          <w:b/>
          <w:bCs/>
          <w:kern w:val="2"/>
          <w:sz w:val="24"/>
          <w:szCs w:val="24"/>
          <w:lang w:val="en-US" w:eastAsia="zh-CN" w:bidi="ar-SA"/>
        </w:rPr>
        <w:t>验收要求</w:t>
      </w:r>
    </w:p>
    <w:p w14:paraId="3D4A4D4D">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1.服务期满后按照成交供应商所提供的资料及数据进行验收；</w:t>
      </w:r>
    </w:p>
    <w:p w14:paraId="196AE8B8">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2.最终验收：自合同签订之日起至完成全部项目内容，需按照采购人确定的时间完成交付并验收合格，验收合格后，填写验收单。</w:t>
      </w:r>
    </w:p>
    <w:p w14:paraId="735B763F">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3.验收和评价方式</w:t>
      </w:r>
    </w:p>
    <w:p w14:paraId="7D1A0C78">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  乙方提供的服务最终验收达不到磋商文件要求和磋商响应文件承诺及国家或行业标准，或在使用中发现甲方不能容忍的缺陷等，将视为验收不合格，乙方应在甲方要求的时间内无条件完善或赔付采购人损失。</w:t>
      </w:r>
    </w:p>
    <w:p w14:paraId="5D188251">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  若发现乙方有弄虚作假的，及在项目实施阶段故意或随意夸大服务，本项目合同解除，乙方赔偿甲方相应的损失。</w:t>
      </w:r>
    </w:p>
    <w:p w14:paraId="7E2FD4D8">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  验收标准：按磋商文件、磋商响应文件等服务指标进行逐项验收，各项指标均应符合验收标准及要求。</w:t>
      </w:r>
    </w:p>
    <w:p w14:paraId="1E43B910">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3.4  验收合格后，填写验收单，双方盖章、签字生效。</w:t>
      </w:r>
    </w:p>
    <w:p w14:paraId="0AF5071E">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  验收依据</w:t>
      </w:r>
    </w:p>
    <w:p w14:paraId="4201E7C4">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3.5.1  合同文本</w:t>
      </w:r>
    </w:p>
    <w:p w14:paraId="6D755D69">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3.5.2  磋商响应文件、磋商文件、澄清函。</w:t>
      </w:r>
    </w:p>
    <w:p w14:paraId="48791412">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3.5.3  国家和行业制定的相应的标准和规范。</w:t>
      </w:r>
    </w:p>
    <w:p w14:paraId="0E2626D7">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2" w:firstLineChars="200"/>
        <w:textAlignment w:val="auto"/>
        <w:rPr>
          <w:rFonts w:hint="eastAsia" w:ascii="宋体" w:hAnsi="宋体" w:eastAsia="宋体" w:cs="宋体"/>
          <w:b/>
          <w:bCs/>
          <w:kern w:val="2"/>
          <w:sz w:val="24"/>
          <w:szCs w:val="24"/>
          <w:lang w:val="en-US" w:eastAsia="zh-CN" w:bidi="ar-SA"/>
        </w:rPr>
      </w:pPr>
      <w:r>
        <w:rPr>
          <w:rFonts w:hint="eastAsia" w:hAnsi="宋体" w:cs="宋体"/>
          <w:b/>
          <w:bCs/>
          <w:kern w:val="2"/>
          <w:sz w:val="24"/>
          <w:szCs w:val="24"/>
          <w:lang w:val="en-US" w:eastAsia="zh-CN" w:bidi="ar-SA"/>
        </w:rPr>
        <w:t>九、</w:t>
      </w:r>
      <w:r>
        <w:rPr>
          <w:rFonts w:hint="eastAsia" w:ascii="宋体" w:hAnsi="宋体" w:eastAsia="宋体" w:cs="宋体"/>
          <w:b/>
          <w:bCs/>
          <w:kern w:val="2"/>
          <w:sz w:val="24"/>
          <w:szCs w:val="24"/>
          <w:lang w:val="en-US" w:eastAsia="zh-CN" w:bidi="ar-SA"/>
        </w:rPr>
        <w:t>保密条款</w:t>
      </w:r>
    </w:p>
    <w:p w14:paraId="0F2F17C6">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任何一方在未获得对方书面允许的情况下，均不应向任何第三方披露或提供从合作方取得的展会相关资料。</w:t>
      </w:r>
    </w:p>
    <w:p w14:paraId="3F27DD90">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2" w:firstLineChars="200"/>
        <w:textAlignment w:val="auto"/>
        <w:rPr>
          <w:rFonts w:hint="eastAsia" w:ascii="宋体" w:hAnsi="宋体" w:eastAsia="宋体" w:cs="宋体"/>
          <w:b/>
          <w:bCs/>
          <w:kern w:val="2"/>
          <w:sz w:val="24"/>
          <w:szCs w:val="24"/>
          <w:lang w:val="en-US" w:eastAsia="zh-CN" w:bidi="ar-SA"/>
        </w:rPr>
      </w:pPr>
      <w:r>
        <w:rPr>
          <w:rFonts w:hint="eastAsia" w:hAnsi="宋体" w:cs="宋体"/>
          <w:b/>
          <w:bCs/>
          <w:kern w:val="2"/>
          <w:sz w:val="24"/>
          <w:szCs w:val="24"/>
          <w:lang w:val="en-US" w:eastAsia="zh-CN" w:bidi="ar-SA"/>
        </w:rPr>
        <w:t>十、</w:t>
      </w:r>
      <w:r>
        <w:rPr>
          <w:rFonts w:hint="eastAsia" w:ascii="宋体" w:hAnsi="宋体" w:eastAsia="宋体" w:cs="宋体"/>
          <w:b/>
          <w:bCs/>
          <w:kern w:val="2"/>
          <w:sz w:val="24"/>
          <w:szCs w:val="24"/>
          <w:lang w:val="en-US" w:eastAsia="zh-CN" w:bidi="ar-SA"/>
        </w:rPr>
        <w:t>违约责任</w:t>
      </w:r>
    </w:p>
    <w:p w14:paraId="4BC0E153">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1.按《民法典》中的相关条款执行。</w:t>
      </w:r>
    </w:p>
    <w:p w14:paraId="4D74359C">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2AA95F0A">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3.由于不可抗力因素造成无法按照原计划提供服务，双方互不追究违约责任。</w:t>
      </w:r>
    </w:p>
    <w:p w14:paraId="472F21E0">
      <w:pPr>
        <w:keepNext w:val="0"/>
        <w:keepLines w:val="0"/>
        <w:pageBreakBefore w:val="0"/>
        <w:widowControl w:val="0"/>
        <w:kinsoku/>
        <w:wordWrap/>
        <w:overflowPunct/>
        <w:topLinePunct w:val="0"/>
        <w:autoSpaceDE w:val="0"/>
        <w:autoSpaceDN/>
        <w:bidi w:val="0"/>
        <w:adjustRightInd/>
        <w:snapToGrid/>
        <w:spacing w:line="560" w:lineRule="exact"/>
        <w:ind w:left="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4.如有异议另行协商。</w:t>
      </w:r>
    </w:p>
    <w:p w14:paraId="0B348E94">
      <w:pPr>
        <w:pStyle w:val="4"/>
        <w:keepNext/>
        <w:keepLines w:val="0"/>
        <w:pageBreakBefore w:val="0"/>
        <w:widowControl w:val="0"/>
        <w:kinsoku/>
        <w:wordWrap/>
        <w:overflowPunct/>
        <w:topLinePunct w:val="0"/>
        <w:autoSpaceDE/>
        <w:autoSpaceDN/>
        <w:bidi w:val="0"/>
        <w:adjustRightInd/>
        <w:snapToGrid/>
        <w:spacing w:before="0" w:beforeAutospacing="0" w:afterAutospacing="0" w:line="360" w:lineRule="auto"/>
        <w:ind w:left="0" w:right="0" w:rightChars="0" w:firstLine="482"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十</w:t>
      </w:r>
      <w:r>
        <w:rPr>
          <w:rFonts w:hint="eastAsia" w:ascii="宋体" w:hAnsi="宋体" w:cs="宋体"/>
          <w:sz w:val="24"/>
          <w:szCs w:val="24"/>
          <w:lang w:val="en-US" w:eastAsia="zh-CN"/>
        </w:rPr>
        <w:t>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、争议解决</w:t>
      </w:r>
    </w:p>
    <w:p w14:paraId="2845E1A0">
      <w:pPr>
        <w:pStyle w:val="6"/>
        <w:pageBreakBefore w:val="0"/>
        <w:tabs>
          <w:tab w:val="left" w:pos="1123"/>
        </w:tabs>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本合同在履行过程中发生的争议</w:t>
      </w:r>
      <w:r>
        <w:rPr>
          <w:rFonts w:hint="eastAsia" w:ascii="宋体" w:hAnsi="宋体" w:eastAsia="宋体" w:cs="宋体"/>
          <w:spacing w:val="-39"/>
          <w:sz w:val="24"/>
          <w:szCs w:val="24"/>
        </w:rPr>
        <w:t>，</w:t>
      </w:r>
      <w:r>
        <w:rPr>
          <w:rFonts w:hint="eastAsia" w:ascii="宋体" w:hAnsi="宋体" w:eastAsia="宋体" w:cs="宋体"/>
          <w:sz w:val="24"/>
          <w:szCs w:val="24"/>
        </w:rPr>
        <w:t>由甲</w:t>
      </w:r>
      <w:r>
        <w:rPr>
          <w:rFonts w:hint="eastAsia" w:ascii="宋体" w:hAnsi="宋体" w:eastAsia="宋体" w:cs="宋体"/>
          <w:spacing w:val="-41"/>
          <w:sz w:val="24"/>
          <w:szCs w:val="24"/>
        </w:rPr>
        <w:t>、</w:t>
      </w:r>
      <w:r>
        <w:rPr>
          <w:rFonts w:hint="eastAsia" w:ascii="宋体" w:hAnsi="宋体" w:eastAsia="宋体" w:cs="宋体"/>
          <w:sz w:val="24"/>
          <w:szCs w:val="24"/>
        </w:rPr>
        <w:t>乙双方当事人协商解决</w:t>
      </w:r>
      <w:r>
        <w:rPr>
          <w:rFonts w:hint="eastAsia" w:ascii="宋体" w:hAnsi="宋体" w:eastAsia="宋体" w:cs="宋体"/>
          <w:spacing w:val="-36"/>
          <w:sz w:val="24"/>
          <w:szCs w:val="24"/>
        </w:rPr>
        <w:t>，</w:t>
      </w:r>
      <w:r>
        <w:rPr>
          <w:rFonts w:hint="eastAsia" w:ascii="宋体" w:hAnsi="宋体" w:eastAsia="宋体" w:cs="宋体"/>
          <w:sz w:val="24"/>
          <w:szCs w:val="24"/>
        </w:rPr>
        <w:t>协商不成的按下</w:t>
      </w:r>
      <w:r>
        <w:rPr>
          <w:rFonts w:hint="eastAsia" w:ascii="宋体" w:hAnsi="宋体" w:eastAsia="宋体" w:cs="宋体"/>
          <w:spacing w:val="-18"/>
          <w:sz w:val="24"/>
          <w:szCs w:val="24"/>
        </w:rPr>
        <w:t>列</w:t>
      </w:r>
      <w:r>
        <w:rPr>
          <w:rFonts w:hint="eastAsia" w:ascii="宋体" w:hAnsi="宋体" w:eastAsia="宋体" w:cs="宋体"/>
          <w:sz w:val="24"/>
          <w:szCs w:val="24"/>
        </w:rPr>
        <w:t>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二</w:t>
      </w:r>
      <w:r>
        <w:rPr>
          <w:rFonts w:hint="eastAsia" w:ascii="宋体" w:hAnsi="宋体" w:eastAsia="宋体" w:cs="宋体"/>
          <w:sz w:val="24"/>
          <w:szCs w:val="24"/>
          <w:u w:val="single"/>
          <w:lang w:eastAsia="zh-CN"/>
        </w:rPr>
        <w:t>）</w:t>
      </w:r>
      <w:r>
        <w:rPr>
          <w:rFonts w:hint="eastAsia" w:ascii="宋体" w:hAnsi="宋体" w:eastAsia="宋体" w:cs="宋体"/>
          <w:sz w:val="24"/>
          <w:szCs w:val="24"/>
        </w:rPr>
        <w:t>种方式解决：</w:t>
      </w:r>
    </w:p>
    <w:p w14:paraId="731D4041">
      <w:pPr>
        <w:pStyle w:val="6"/>
        <w:pageBreakBefore w:val="0"/>
        <w:numPr>
          <w:ilvl w:val="0"/>
          <w:numId w:val="0"/>
        </w:numPr>
        <w:tabs>
          <w:tab w:val="left" w:pos="3043"/>
        </w:tabs>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1、提交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仲裁委员会仲裁；</w:t>
      </w:r>
    </w:p>
    <w:p w14:paraId="76DD172D">
      <w:pPr>
        <w:pStyle w:val="6"/>
        <w:pageBreakBefore w:val="0"/>
        <w:numPr>
          <w:ilvl w:val="0"/>
          <w:numId w:val="0"/>
        </w:numPr>
        <w:tabs>
          <w:tab w:val="left" w:pos="3043"/>
        </w:tabs>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2、依法向</w:t>
      </w:r>
      <w:r>
        <w:rPr>
          <w:rFonts w:hint="eastAsia" w:ascii="宋体" w:hAnsi="宋体" w:eastAsia="宋体" w:cs="宋体"/>
          <w:kern w:val="0"/>
          <w:sz w:val="24"/>
          <w:szCs w:val="24"/>
          <w:u w:val="single"/>
          <w:lang w:val="en-US" w:eastAsia="zh-CN" w:bidi="ar-SA"/>
        </w:rPr>
        <w:t xml:space="preserve"> 甲方 </w:t>
      </w:r>
      <w:r>
        <w:rPr>
          <w:rFonts w:hint="eastAsia" w:ascii="宋体" w:hAnsi="宋体" w:eastAsia="宋体" w:cs="宋体"/>
          <w:kern w:val="0"/>
          <w:sz w:val="24"/>
          <w:szCs w:val="24"/>
          <w:lang w:val="en-US" w:eastAsia="zh-CN" w:bidi="ar-SA"/>
        </w:rPr>
        <w:t>所在地人民法院起诉。</w:t>
      </w:r>
      <w:bookmarkStart w:id="11" w:name="十、合同生效"/>
      <w:bookmarkEnd w:id="11"/>
    </w:p>
    <w:p w14:paraId="0A03F9BF">
      <w:pPr>
        <w:pStyle w:val="6"/>
        <w:keepNext w:val="0"/>
        <w:keepLines w:val="0"/>
        <w:pageBreakBefore w:val="0"/>
        <w:widowControl w:val="0"/>
        <w:numPr>
          <w:ilvl w:val="0"/>
          <w:numId w:val="0"/>
        </w:numPr>
        <w:tabs>
          <w:tab w:val="left" w:pos="3043"/>
        </w:tabs>
        <w:kinsoku/>
        <w:wordWrap/>
        <w:overflowPunct/>
        <w:topLinePunct w:val="0"/>
        <w:autoSpaceDE/>
        <w:autoSpaceDN/>
        <w:bidi w:val="0"/>
        <w:adjustRightInd/>
        <w:snapToGrid/>
        <w:spacing w:beforeAutospacing="0" w:after="0" w:afterAutospacing="0" w:line="360" w:lineRule="auto"/>
        <w:ind w:left="0" w:right="0" w:righ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cs="宋体"/>
          <w:b/>
          <w:sz w:val="24"/>
          <w:szCs w:val="24"/>
          <w:lang w:val="en-US" w:eastAsia="zh-CN"/>
        </w:rPr>
        <w:t>二</w:t>
      </w:r>
      <w:r>
        <w:rPr>
          <w:rFonts w:hint="eastAsia" w:ascii="宋体" w:hAnsi="宋体" w:eastAsia="宋体" w:cs="宋体"/>
          <w:b/>
          <w:sz w:val="24"/>
          <w:szCs w:val="24"/>
        </w:rPr>
        <w:t>、</w:t>
      </w:r>
      <w:r>
        <w:rPr>
          <w:rFonts w:hint="eastAsia" w:ascii="宋体" w:hAnsi="宋体" w:eastAsia="宋体" w:cs="宋体"/>
          <w:b/>
          <w:sz w:val="24"/>
          <w:szCs w:val="24"/>
          <w:lang w:val="en-US" w:eastAsia="zh-CN"/>
        </w:rPr>
        <w:t>其  他</w:t>
      </w:r>
    </w:p>
    <w:p w14:paraId="64505F40">
      <w:pPr>
        <w:pStyle w:val="7"/>
        <w:pageBreakBefore w:val="0"/>
        <w:numPr>
          <w:ilvl w:val="0"/>
          <w:numId w:val="0"/>
        </w:numPr>
        <w:kinsoku w:val="0"/>
        <w:wordWrap/>
        <w:overflowPunct w:val="0"/>
        <w:topLinePunct w:val="0"/>
        <w:autoSpaceDE w:val="0"/>
        <w:autoSpaceDN w:val="0"/>
        <w:bidi w:val="0"/>
        <w:adjustRightInd/>
        <w:snapToGrid/>
        <w:spacing w:before="0" w:beforeAutospacing="0" w:after="0" w:afterAutospacing="0" w:line="360" w:lineRule="auto"/>
        <w:ind w:left="0" w:leftChars="0" w:right="0" w:rightChars="0"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r>
        <w:rPr>
          <w:rFonts w:hint="eastAsia" w:ascii="宋体" w:hAnsi="宋体" w:eastAsia="宋体" w:cs="宋体"/>
          <w:spacing w:val="-24"/>
          <w:sz w:val="24"/>
          <w:szCs w:val="24"/>
        </w:rPr>
        <w:t>，</w:t>
      </w:r>
      <w:r>
        <w:rPr>
          <w:rFonts w:hint="eastAsia" w:ascii="宋体" w:hAnsi="宋体" w:eastAsia="宋体" w:cs="宋体"/>
          <w:sz w:val="24"/>
          <w:szCs w:val="24"/>
        </w:rPr>
        <w:t>甲方执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r>
        <w:rPr>
          <w:rFonts w:hint="eastAsia" w:ascii="宋体" w:hAnsi="宋体" w:eastAsia="宋体" w:cs="宋体"/>
          <w:spacing w:val="-24"/>
          <w:sz w:val="24"/>
          <w:szCs w:val="24"/>
        </w:rPr>
        <w:t>，</w:t>
      </w:r>
      <w:r>
        <w:rPr>
          <w:rFonts w:hint="eastAsia" w:ascii="宋体" w:hAnsi="宋体" w:eastAsia="宋体" w:cs="宋体"/>
          <w:sz w:val="24"/>
          <w:szCs w:val="24"/>
        </w:rPr>
        <w:t>乙方执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r>
        <w:rPr>
          <w:rFonts w:hint="eastAsia" w:ascii="宋体" w:hAnsi="宋体" w:eastAsia="宋体" w:cs="宋体"/>
          <w:spacing w:val="-22"/>
          <w:sz w:val="24"/>
          <w:szCs w:val="24"/>
        </w:rPr>
        <w:t>，</w:t>
      </w:r>
      <w:r>
        <w:rPr>
          <w:rFonts w:hint="eastAsia" w:ascii="宋体" w:hAnsi="宋体" w:eastAsia="宋体" w:cs="宋体"/>
          <w:sz w:val="24"/>
          <w:szCs w:val="24"/>
        </w:rPr>
        <w:t>本合同甲</w:t>
      </w:r>
      <w:r>
        <w:rPr>
          <w:rFonts w:hint="eastAsia" w:ascii="宋体" w:hAnsi="宋体" w:eastAsia="宋体" w:cs="宋体"/>
          <w:spacing w:val="-24"/>
          <w:sz w:val="24"/>
          <w:szCs w:val="24"/>
        </w:rPr>
        <w:t>、</w:t>
      </w:r>
      <w:r>
        <w:rPr>
          <w:rFonts w:hint="eastAsia" w:ascii="宋体" w:hAnsi="宋体" w:eastAsia="宋体" w:cs="宋体"/>
          <w:sz w:val="24"/>
          <w:szCs w:val="24"/>
        </w:rPr>
        <w:t>乙</w:t>
      </w:r>
      <w:r>
        <w:rPr>
          <w:rFonts w:hint="eastAsia" w:ascii="宋体" w:hAnsi="宋体" w:eastAsia="宋体" w:cs="宋体"/>
          <w:spacing w:val="-24"/>
          <w:sz w:val="24"/>
          <w:szCs w:val="24"/>
        </w:rPr>
        <w:t>、</w:t>
      </w:r>
      <w:r>
        <w:rPr>
          <w:rFonts w:hint="eastAsia" w:ascii="宋体" w:hAnsi="宋体" w:eastAsia="宋体" w:cs="宋体"/>
          <w:sz w:val="24"/>
          <w:szCs w:val="24"/>
        </w:rPr>
        <w:t>确认各方签字盖</w:t>
      </w:r>
      <w:r>
        <w:rPr>
          <w:rFonts w:hint="eastAsia" w:ascii="宋体" w:hAnsi="宋体" w:eastAsia="宋体" w:cs="宋体"/>
          <w:spacing w:val="-17"/>
          <w:sz w:val="24"/>
          <w:szCs w:val="24"/>
        </w:rPr>
        <w:t>章</w:t>
      </w:r>
      <w:r>
        <w:rPr>
          <w:rFonts w:hint="eastAsia" w:ascii="宋体" w:hAnsi="宋体" w:eastAsia="宋体" w:cs="宋体"/>
          <w:sz w:val="24"/>
          <w:szCs w:val="24"/>
        </w:rPr>
        <w:t>后生效</w:t>
      </w:r>
      <w:r>
        <w:rPr>
          <w:rFonts w:hint="eastAsia" w:ascii="宋体" w:hAnsi="宋体" w:eastAsia="宋体" w:cs="宋体"/>
          <w:sz w:val="24"/>
          <w:szCs w:val="24"/>
          <w:lang w:eastAsia="zh-CN"/>
        </w:rPr>
        <w:t>，</w:t>
      </w:r>
      <w:r>
        <w:rPr>
          <w:rFonts w:hint="eastAsia" w:ascii="宋体" w:hAnsi="宋体" w:eastAsia="宋体" w:cs="宋体"/>
          <w:color w:val="auto"/>
          <w:sz w:val="24"/>
          <w:szCs w:val="24"/>
          <w:u w:val="none"/>
          <w:lang w:eastAsia="zh-CN"/>
        </w:rPr>
        <w:t>协议</w:t>
      </w:r>
      <w:r>
        <w:rPr>
          <w:rFonts w:hint="eastAsia" w:ascii="宋体" w:hAnsi="宋体" w:eastAsia="宋体" w:cs="宋体"/>
          <w:color w:val="auto"/>
          <w:sz w:val="24"/>
          <w:szCs w:val="24"/>
          <w:u w:val="none"/>
        </w:rPr>
        <w:t>期限为自</w:t>
      </w:r>
      <w:r>
        <w:rPr>
          <w:rFonts w:hint="eastAsia" w:ascii="宋体" w:hAnsi="宋体" w:eastAsia="宋体" w:cs="宋体"/>
          <w:color w:val="auto"/>
          <w:sz w:val="24"/>
          <w:szCs w:val="24"/>
          <w:u w:val="none"/>
          <w:lang w:eastAsia="zh-CN"/>
        </w:rPr>
        <w:t>协议</w:t>
      </w:r>
      <w:r>
        <w:rPr>
          <w:rFonts w:hint="eastAsia" w:ascii="宋体" w:hAnsi="宋体" w:eastAsia="宋体" w:cs="宋体"/>
          <w:color w:val="auto"/>
          <w:sz w:val="24"/>
          <w:szCs w:val="24"/>
          <w:u w:val="none"/>
        </w:rPr>
        <w:t>生效之日起至双方义务履行完毕之日止。</w:t>
      </w:r>
    </w:p>
    <w:p w14:paraId="72F125F9">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pacing w:val="-7"/>
          <w:sz w:val="24"/>
          <w:szCs w:val="24"/>
          <w:lang w:val="en-US" w:eastAsia="zh-CN"/>
        </w:rPr>
        <w:t>竞争性磋商</w:t>
      </w:r>
      <w:r>
        <w:rPr>
          <w:rFonts w:hint="eastAsia" w:ascii="宋体" w:hAnsi="宋体" w:eastAsia="宋体" w:cs="宋体"/>
          <w:spacing w:val="-7"/>
          <w:sz w:val="24"/>
          <w:szCs w:val="24"/>
        </w:rPr>
        <w:t>文件、</w:t>
      </w:r>
      <w:r>
        <w:rPr>
          <w:rFonts w:hint="eastAsia" w:ascii="宋体" w:hAnsi="宋体" w:eastAsia="宋体" w:cs="宋体"/>
          <w:spacing w:val="-7"/>
          <w:sz w:val="24"/>
          <w:szCs w:val="24"/>
          <w:lang w:val="en-US" w:eastAsia="zh-CN"/>
        </w:rPr>
        <w:t>响应</w:t>
      </w:r>
      <w:r>
        <w:rPr>
          <w:rFonts w:hint="eastAsia" w:ascii="宋体" w:hAnsi="宋体" w:eastAsia="宋体" w:cs="宋体"/>
          <w:spacing w:val="-7"/>
          <w:sz w:val="24"/>
          <w:szCs w:val="24"/>
        </w:rPr>
        <w:t>文件、澄清表</w:t>
      </w:r>
      <w:r>
        <w:rPr>
          <w:rFonts w:hint="eastAsia" w:ascii="宋体" w:hAnsi="宋体" w:eastAsia="宋体" w:cs="宋体"/>
          <w:sz w:val="24"/>
          <w:szCs w:val="24"/>
        </w:rPr>
        <w:t>（函</w:t>
      </w:r>
      <w:r>
        <w:rPr>
          <w:rFonts w:hint="eastAsia" w:ascii="宋体" w:hAnsi="宋体" w:eastAsia="宋体" w:cs="宋体"/>
          <w:spacing w:val="-17"/>
          <w:sz w:val="24"/>
          <w:szCs w:val="24"/>
        </w:rPr>
        <w:t>）</w:t>
      </w:r>
      <w:r>
        <w:rPr>
          <w:rFonts w:hint="eastAsia" w:ascii="宋体" w:hAnsi="宋体" w:eastAsia="宋体" w:cs="宋体"/>
          <w:spacing w:val="-7"/>
          <w:sz w:val="24"/>
          <w:szCs w:val="24"/>
        </w:rPr>
        <w:t>、</w:t>
      </w:r>
      <w:r>
        <w:rPr>
          <w:rFonts w:hint="eastAsia" w:ascii="宋体" w:hAnsi="宋体" w:eastAsia="宋体" w:cs="宋体"/>
          <w:spacing w:val="-7"/>
          <w:sz w:val="24"/>
          <w:szCs w:val="24"/>
          <w:lang w:val="en-US" w:eastAsia="zh-CN"/>
        </w:rPr>
        <w:t>成交</w:t>
      </w:r>
      <w:r>
        <w:rPr>
          <w:rFonts w:hint="eastAsia" w:ascii="宋体" w:hAnsi="宋体" w:eastAsia="宋体" w:cs="宋体"/>
          <w:spacing w:val="-7"/>
          <w:sz w:val="24"/>
          <w:szCs w:val="24"/>
        </w:rPr>
        <w:t>通知书、合同附件均成为合同不可</w:t>
      </w:r>
      <w:r>
        <w:rPr>
          <w:rFonts w:hint="eastAsia" w:ascii="宋体" w:hAnsi="宋体" w:eastAsia="宋体" w:cs="宋体"/>
          <w:sz w:val="24"/>
          <w:szCs w:val="24"/>
        </w:rPr>
        <w:t>分割的部分</w:t>
      </w:r>
      <w:r>
        <w:rPr>
          <w:rFonts w:hint="eastAsia" w:ascii="宋体" w:hAnsi="宋体" w:eastAsia="宋体" w:cs="宋体"/>
          <w:sz w:val="24"/>
          <w:szCs w:val="24"/>
          <w:lang w:eastAsia="zh-CN"/>
        </w:rPr>
        <w:t>，</w:t>
      </w:r>
      <w:r>
        <w:rPr>
          <w:rFonts w:hint="eastAsia" w:ascii="宋体" w:hAnsi="宋体" w:eastAsia="宋体" w:cs="宋体"/>
          <w:color w:val="auto"/>
          <w:sz w:val="24"/>
          <w:szCs w:val="24"/>
          <w:u w:val="none"/>
          <w:lang w:eastAsia="zh-CN"/>
        </w:rPr>
        <w:t>与本</w:t>
      </w:r>
      <w:r>
        <w:rPr>
          <w:rFonts w:hint="eastAsia" w:ascii="宋体" w:hAnsi="宋体" w:eastAsia="宋体" w:cs="宋体"/>
          <w:color w:val="auto"/>
          <w:sz w:val="24"/>
          <w:szCs w:val="24"/>
          <w:u w:val="none"/>
          <w:lang w:val="en-US" w:eastAsia="zh-CN"/>
        </w:rPr>
        <w:t>合同</w:t>
      </w:r>
      <w:r>
        <w:rPr>
          <w:rFonts w:hint="eastAsia" w:ascii="宋体" w:hAnsi="宋体" w:eastAsia="宋体" w:cs="宋体"/>
          <w:color w:val="auto"/>
          <w:sz w:val="24"/>
          <w:szCs w:val="24"/>
          <w:u w:val="none"/>
          <w:lang w:eastAsia="zh-CN"/>
        </w:rPr>
        <w:t>具有同等效力。</w:t>
      </w:r>
    </w:p>
    <w:p w14:paraId="1609EEA7">
      <w:pPr>
        <w:pStyle w:val="6"/>
        <w:pageBreakBefore w:val="0"/>
        <w:wordWrap/>
        <w:topLinePunct w:val="0"/>
        <w:bidi w:val="0"/>
        <w:adjustRightInd/>
        <w:snapToGrid/>
        <w:spacing w:beforeAutospacing="0" w:after="0" w:afterAutospacing="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合同未尽事宜，由甲、乙双方根据有关规定和惯例进行友好协商，作为合同补充，与</w:t>
      </w:r>
      <w:r>
        <w:rPr>
          <w:rFonts w:hint="eastAsia" w:ascii="宋体" w:hAnsi="宋体" w:eastAsia="宋体" w:cs="宋体"/>
          <w:sz w:val="24"/>
          <w:szCs w:val="24"/>
          <w:lang w:val="en-US" w:eastAsia="zh-CN"/>
        </w:rPr>
        <w:t>本</w:t>
      </w:r>
      <w:r>
        <w:rPr>
          <w:rFonts w:hint="eastAsia" w:ascii="宋体" w:hAnsi="宋体" w:eastAsia="宋体" w:cs="宋体"/>
          <w:sz w:val="24"/>
          <w:szCs w:val="24"/>
        </w:rPr>
        <w:t>合同具有同等法律效力。</w:t>
      </w:r>
    </w:p>
    <w:p w14:paraId="2C43972E">
      <w:pPr>
        <w:pStyle w:val="7"/>
        <w:pageBreakBefore w:val="0"/>
        <w:numPr>
          <w:ilvl w:val="0"/>
          <w:numId w:val="0"/>
        </w:numPr>
        <w:kinsoku w:val="0"/>
        <w:wordWrap/>
        <w:overflowPunct w:val="0"/>
        <w:topLinePunct w:val="0"/>
        <w:autoSpaceDE w:val="0"/>
        <w:autoSpaceDN w:val="0"/>
        <w:bidi w:val="0"/>
        <w:adjustRightInd/>
        <w:snapToGrid/>
        <w:spacing w:before="0" w:beforeAutospacing="0" w:after="0" w:afterAutospacing="0" w:line="360" w:lineRule="auto"/>
        <w:ind w:left="0" w:leftChars="0" w:right="0" w:rightChars="0" w:firstLine="480" w:firstLineChars="200"/>
        <w:contextualSpacing/>
        <w:textAlignment w:val="auto"/>
        <w:rPr>
          <w:rFonts w:hint="eastAsia" w:ascii="宋体" w:hAnsi="宋体" w:eastAsia="宋体" w:cs="宋体"/>
          <w:color w:val="auto"/>
          <w:sz w:val="24"/>
          <w:szCs w:val="24"/>
          <w:u w:val="none"/>
          <w:lang w:eastAsia="zh-CN"/>
        </w:rPr>
      </w:pPr>
      <w:r>
        <w:rPr>
          <w:rFonts w:hint="eastAsia" w:ascii="宋体" w:hAnsi="宋体" w:eastAsia="宋体" w:cs="宋体"/>
          <w:sz w:val="24"/>
          <w:szCs w:val="24"/>
          <w:lang w:val="en-US" w:eastAsia="zh-CN"/>
        </w:rPr>
        <w:t>4、</w:t>
      </w:r>
      <w:r>
        <w:rPr>
          <w:rFonts w:hint="eastAsia" w:ascii="宋体" w:hAnsi="宋体" w:eastAsia="宋体" w:cs="宋体"/>
          <w:spacing w:val="-8"/>
          <w:sz w:val="24"/>
          <w:szCs w:val="24"/>
        </w:rPr>
        <w:t>合同一经签订，不得擅自变更、中止或终止合同。但若与甲方的上级管理机关</w:t>
      </w:r>
      <w:r>
        <w:rPr>
          <w:rFonts w:hint="eastAsia" w:ascii="宋体" w:hAnsi="宋体" w:eastAsia="宋体" w:cs="宋体"/>
          <w:spacing w:val="-9"/>
          <w:sz w:val="24"/>
          <w:szCs w:val="24"/>
        </w:rPr>
        <w:t>的政策性行为或其他规定发生冲突，甲方有权与乙方协商调整</w:t>
      </w:r>
      <w:r>
        <w:rPr>
          <w:rFonts w:hint="eastAsia" w:ascii="宋体" w:hAnsi="宋体" w:eastAsia="宋体" w:cs="宋体"/>
          <w:spacing w:val="-9"/>
          <w:sz w:val="24"/>
          <w:szCs w:val="24"/>
          <w:lang w:eastAsia="zh-CN"/>
        </w:rPr>
        <w:t>合同</w:t>
      </w:r>
      <w:r>
        <w:rPr>
          <w:rFonts w:hint="eastAsia" w:ascii="宋体" w:hAnsi="宋体" w:eastAsia="宋体" w:cs="宋体"/>
          <w:spacing w:val="-9"/>
          <w:sz w:val="24"/>
          <w:szCs w:val="24"/>
        </w:rPr>
        <w:t>内容或终止</w:t>
      </w:r>
      <w:r>
        <w:rPr>
          <w:rFonts w:hint="eastAsia" w:ascii="宋体" w:hAnsi="宋体" w:eastAsia="宋体" w:cs="宋体"/>
          <w:spacing w:val="-9"/>
          <w:sz w:val="24"/>
          <w:szCs w:val="24"/>
          <w:lang w:eastAsia="zh-CN"/>
        </w:rPr>
        <w:t>合同</w:t>
      </w:r>
      <w:r>
        <w:rPr>
          <w:rFonts w:hint="eastAsia" w:ascii="宋体" w:hAnsi="宋体" w:eastAsia="宋体" w:cs="宋体"/>
          <w:spacing w:val="-9"/>
          <w:sz w:val="24"/>
          <w:szCs w:val="24"/>
        </w:rPr>
        <w:t>执行。</w:t>
      </w:r>
    </w:p>
    <w:p w14:paraId="0FE1251B">
      <w:pPr>
        <w:pStyle w:val="6"/>
        <w:pageBreakBefore w:val="0"/>
        <w:wordWrap/>
        <w:topLinePunct w:val="0"/>
        <w:bidi w:val="0"/>
        <w:adjustRightInd/>
        <w:snapToGrid/>
        <w:spacing w:beforeAutospacing="0" w:after="0" w:afterAutospacing="0" w:line="360" w:lineRule="auto"/>
        <w:ind w:left="0" w:right="0" w:rightChars="0" w:firstLine="480" w:firstLineChars="20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本页为签字盖章页，无正文</w:t>
      </w:r>
      <w:r>
        <w:rPr>
          <w:rFonts w:hint="eastAsia" w:ascii="宋体" w:hAnsi="宋体" w:eastAsia="宋体" w:cs="宋体"/>
          <w:sz w:val="24"/>
          <w:szCs w:val="24"/>
          <w:lang w:eastAsia="zh-CN"/>
        </w:rPr>
        <w:t>）</w:t>
      </w:r>
    </w:p>
    <w:tbl>
      <w:tblPr>
        <w:tblStyle w:val="9"/>
        <w:tblpPr w:leftFromText="180" w:rightFromText="180" w:vertAnchor="text" w:horzAnchor="page" w:tblpX="1731" w:tblpY="844"/>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586"/>
        <w:gridCol w:w="695"/>
        <w:gridCol w:w="1012"/>
        <w:gridCol w:w="4211"/>
      </w:tblGrid>
      <w:tr w14:paraId="7C141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86" w:type="dxa"/>
            <w:noWrap w:val="0"/>
            <w:vAlign w:val="top"/>
          </w:tcPr>
          <w:p w14:paraId="7E418B7F">
            <w:pPr>
              <w:pStyle w:val="11"/>
              <w:pageBreakBefore w:val="0"/>
              <w:tabs>
                <w:tab w:val="left" w:pos="52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w:t>
            </w:r>
            <w:r>
              <w:rPr>
                <w:rFonts w:hint="eastAsia" w:ascii="宋体" w:hAnsi="宋体" w:eastAsia="宋体" w:cs="宋体"/>
                <w:sz w:val="24"/>
                <w:szCs w:val="24"/>
              </w:rPr>
              <w:tab/>
            </w:r>
            <w:r>
              <w:rPr>
                <w:rFonts w:hint="eastAsia" w:ascii="宋体" w:hAnsi="宋体" w:eastAsia="宋体" w:cs="宋体"/>
                <w:sz w:val="24"/>
                <w:szCs w:val="24"/>
              </w:rPr>
              <w:t>方：（盖章）</w:t>
            </w:r>
          </w:p>
        </w:tc>
        <w:tc>
          <w:tcPr>
            <w:tcW w:w="695" w:type="dxa"/>
            <w:noWrap w:val="0"/>
            <w:vAlign w:val="top"/>
          </w:tcPr>
          <w:p w14:paraId="54698527">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5647DE5A">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5F67785C">
            <w:pPr>
              <w:pStyle w:val="11"/>
              <w:pageBreakBefore w:val="0"/>
              <w:tabs>
                <w:tab w:val="left" w:pos="113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w:t>
            </w:r>
            <w:r>
              <w:rPr>
                <w:rFonts w:hint="eastAsia" w:ascii="宋体" w:hAnsi="宋体" w:eastAsia="宋体" w:cs="宋体"/>
                <w:sz w:val="24"/>
                <w:szCs w:val="24"/>
              </w:rPr>
              <w:tab/>
            </w:r>
            <w:r>
              <w:rPr>
                <w:rFonts w:hint="eastAsia" w:ascii="宋体" w:hAnsi="宋体" w:eastAsia="宋体" w:cs="宋体"/>
                <w:sz w:val="24"/>
                <w:szCs w:val="24"/>
              </w:rPr>
              <w:t>方：（盖章）</w:t>
            </w:r>
          </w:p>
        </w:tc>
      </w:tr>
      <w:tr w14:paraId="1E5FF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64D200A0">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单位名称：</w:t>
            </w:r>
          </w:p>
        </w:tc>
        <w:tc>
          <w:tcPr>
            <w:tcW w:w="695" w:type="dxa"/>
            <w:noWrap w:val="0"/>
            <w:vAlign w:val="top"/>
          </w:tcPr>
          <w:p w14:paraId="0E8ABA0A">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06E5CA4D">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0398A954">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单位名称：</w:t>
            </w:r>
          </w:p>
        </w:tc>
      </w:tr>
      <w:tr w14:paraId="7D80E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1EA14E9F">
            <w:pPr>
              <w:pStyle w:val="11"/>
              <w:pageBreakBefore w:val="0"/>
              <w:tabs>
                <w:tab w:val="left" w:pos="52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rPr>
              <w:tab/>
            </w:r>
            <w:r>
              <w:rPr>
                <w:rFonts w:hint="eastAsia" w:ascii="宋体" w:hAnsi="宋体" w:eastAsia="宋体" w:cs="宋体"/>
                <w:sz w:val="24"/>
                <w:szCs w:val="24"/>
              </w:rPr>
              <w:t>址：</w:t>
            </w:r>
          </w:p>
        </w:tc>
        <w:tc>
          <w:tcPr>
            <w:tcW w:w="695" w:type="dxa"/>
            <w:noWrap w:val="0"/>
            <w:vAlign w:val="top"/>
          </w:tcPr>
          <w:p w14:paraId="483C092D">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4E837CD2">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11B87556">
            <w:pPr>
              <w:pStyle w:val="11"/>
              <w:pageBreakBefore w:val="0"/>
              <w:tabs>
                <w:tab w:val="left" w:pos="113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rPr>
              <w:tab/>
            </w:r>
            <w:r>
              <w:rPr>
                <w:rFonts w:hint="eastAsia" w:ascii="宋体" w:hAnsi="宋体" w:eastAsia="宋体" w:cs="宋体"/>
                <w:sz w:val="24"/>
                <w:szCs w:val="24"/>
              </w:rPr>
              <w:t>址：</w:t>
            </w:r>
          </w:p>
        </w:tc>
      </w:tr>
      <w:tr w14:paraId="5B64C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6546D66F">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w:t>
            </w:r>
          </w:p>
        </w:tc>
        <w:tc>
          <w:tcPr>
            <w:tcW w:w="695" w:type="dxa"/>
            <w:noWrap w:val="0"/>
            <w:vAlign w:val="top"/>
          </w:tcPr>
          <w:p w14:paraId="05E578D7">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16AC13A2">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4AF98962">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法定代表人</w:t>
            </w:r>
          </w:p>
        </w:tc>
      </w:tr>
      <w:tr w14:paraId="5F1BF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0D218BB9">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或委托代理人：</w:t>
            </w:r>
          </w:p>
        </w:tc>
        <w:tc>
          <w:tcPr>
            <w:tcW w:w="695" w:type="dxa"/>
            <w:noWrap w:val="0"/>
            <w:vAlign w:val="top"/>
          </w:tcPr>
          <w:p w14:paraId="3DFEBCED">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3ED89EFA">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733B3455">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或委托代理人：</w:t>
            </w:r>
          </w:p>
        </w:tc>
      </w:tr>
      <w:tr w14:paraId="622A5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05A97AD0">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695" w:type="dxa"/>
            <w:noWrap w:val="0"/>
            <w:vAlign w:val="top"/>
          </w:tcPr>
          <w:p w14:paraId="3A1B376D">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18C26E12">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12C750C2">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tc>
      </w:tr>
      <w:tr w14:paraId="2880D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31FFC2AD">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695" w:type="dxa"/>
            <w:noWrap w:val="0"/>
            <w:vAlign w:val="top"/>
          </w:tcPr>
          <w:p w14:paraId="7A6B67ED">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3E0A2453">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078F3865">
            <w:pPr>
              <w:pStyle w:val="11"/>
              <w:pageBreakBefore w:val="0"/>
              <w:tabs>
                <w:tab w:val="left" w:pos="113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w:t>
            </w:r>
            <w:r>
              <w:rPr>
                <w:rFonts w:hint="eastAsia" w:ascii="宋体" w:hAnsi="宋体" w:eastAsia="宋体" w:cs="宋体"/>
                <w:sz w:val="24"/>
                <w:szCs w:val="24"/>
              </w:rPr>
              <w:tab/>
            </w:r>
            <w:r>
              <w:rPr>
                <w:rFonts w:hint="eastAsia" w:ascii="宋体" w:hAnsi="宋体" w:eastAsia="宋体" w:cs="宋体"/>
                <w:sz w:val="24"/>
                <w:szCs w:val="24"/>
              </w:rPr>
              <w:t xml:space="preserve">号： </w:t>
            </w:r>
          </w:p>
        </w:tc>
      </w:tr>
      <w:tr w14:paraId="26E99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586" w:type="dxa"/>
            <w:noWrap w:val="0"/>
            <w:vAlign w:val="top"/>
          </w:tcPr>
          <w:p w14:paraId="27E8EEF2">
            <w:pPr>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eastAsia="zh-CN" w:bidi="zh-CN"/>
              </w:rPr>
              <w:t>联系电话：</w:t>
            </w:r>
          </w:p>
        </w:tc>
        <w:tc>
          <w:tcPr>
            <w:tcW w:w="695" w:type="dxa"/>
            <w:noWrap w:val="0"/>
            <w:vAlign w:val="top"/>
          </w:tcPr>
          <w:p w14:paraId="11D65C68">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1012" w:type="dxa"/>
            <w:noWrap w:val="0"/>
            <w:vAlign w:val="top"/>
          </w:tcPr>
          <w:p w14:paraId="7227297A">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p>
        </w:tc>
        <w:tc>
          <w:tcPr>
            <w:tcW w:w="4211" w:type="dxa"/>
            <w:noWrap w:val="0"/>
            <w:vAlign w:val="top"/>
          </w:tcPr>
          <w:p w14:paraId="5A4FE387">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p>
        </w:tc>
      </w:tr>
      <w:tr w14:paraId="2292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1" w:hRule="atLeast"/>
        </w:trPr>
        <w:tc>
          <w:tcPr>
            <w:tcW w:w="2586" w:type="dxa"/>
            <w:noWrap w:val="0"/>
            <w:vAlign w:val="top"/>
          </w:tcPr>
          <w:p w14:paraId="43B9F7ED">
            <w:pPr>
              <w:pStyle w:val="11"/>
              <w:pageBreakBefore w:val="0"/>
              <w:tabs>
                <w:tab w:val="left" w:pos="184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rPr>
              <w:tab/>
            </w:r>
            <w:r>
              <w:rPr>
                <w:rFonts w:hint="eastAsia" w:ascii="宋体" w:hAnsi="宋体" w:eastAsia="宋体" w:cs="宋体"/>
                <w:sz w:val="24"/>
                <w:szCs w:val="24"/>
              </w:rPr>
              <w:t>年</w:t>
            </w:r>
          </w:p>
        </w:tc>
        <w:tc>
          <w:tcPr>
            <w:tcW w:w="695" w:type="dxa"/>
            <w:noWrap w:val="0"/>
            <w:vAlign w:val="top"/>
          </w:tcPr>
          <w:p w14:paraId="74329D66">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月</w:t>
            </w:r>
          </w:p>
        </w:tc>
        <w:tc>
          <w:tcPr>
            <w:tcW w:w="1012" w:type="dxa"/>
            <w:noWrap w:val="0"/>
            <w:vAlign w:val="top"/>
          </w:tcPr>
          <w:p w14:paraId="5402D6E8">
            <w:pPr>
              <w:pStyle w:val="11"/>
              <w:pageBreakBefore w:val="0"/>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w:t>
            </w:r>
          </w:p>
        </w:tc>
        <w:tc>
          <w:tcPr>
            <w:tcW w:w="4211" w:type="dxa"/>
            <w:noWrap w:val="0"/>
            <w:vAlign w:val="top"/>
          </w:tcPr>
          <w:p w14:paraId="22DA703B">
            <w:pPr>
              <w:pStyle w:val="11"/>
              <w:pageBreakBefore w:val="0"/>
              <w:tabs>
                <w:tab w:val="left" w:pos="2459"/>
                <w:tab w:val="left" w:pos="3179"/>
                <w:tab w:val="left" w:pos="3779"/>
              </w:tabs>
              <w:wordWrap/>
              <w:topLinePunct w:val="0"/>
              <w:bidi w:val="0"/>
              <w:adjustRightInd/>
              <w:snapToGrid/>
              <w:spacing w:beforeAutospacing="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rPr>
              <w:tab/>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tc>
      </w:tr>
    </w:tbl>
    <w:p w14:paraId="1820FCD5">
      <w:pPr>
        <w:pStyle w:val="6"/>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2E7E1B19">
      <w:pPr>
        <w:pStyle w:val="8"/>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67570EA9">
      <w:pPr>
        <w:pStyle w:val="8"/>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18BBAD55">
      <w:pPr>
        <w:pStyle w:val="6"/>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18AC5481">
      <w:pPr>
        <w:pStyle w:val="6"/>
        <w:pageBreakBefore w:val="0"/>
        <w:wordWrap/>
        <w:topLinePunct w:val="0"/>
        <w:bidi w:val="0"/>
        <w:adjustRightInd/>
        <w:snapToGrid/>
        <w:spacing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p>
    <w:p w14:paraId="3B7E9B23">
      <w:pPr>
        <w:pStyle w:val="6"/>
        <w:pageBreakBefore w:val="0"/>
        <w:wordWrap/>
        <w:topLinePunct w:val="0"/>
        <w:bidi w:val="0"/>
        <w:adjustRightInd/>
        <w:snapToGrid/>
        <w:spacing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p>
    <w:p w14:paraId="57B73346">
      <w:pPr>
        <w:pStyle w:val="6"/>
        <w:pageBreakBefore w:val="0"/>
        <w:wordWrap/>
        <w:topLinePunct w:val="0"/>
        <w:bidi w:val="0"/>
        <w:adjustRightInd/>
        <w:snapToGrid/>
        <w:spacing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p>
    <w:p w14:paraId="5CF608AB"/>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15B1C">
    <w:pPr>
      <w:pStyle w:val="6"/>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ACFC7"/>
    <w:multiLevelType w:val="singleLevel"/>
    <w:tmpl w:val="E25ACFC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376FC5"/>
    <w:rsid w:val="2B1E5A1F"/>
    <w:rsid w:val="2D453BC1"/>
    <w:rsid w:val="791A4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9"/>
    <w:pPr>
      <w:keepNext/>
      <w:keepLines/>
      <w:widowControl/>
      <w:spacing w:before="100" w:beforeAutospacing="1" w:after="100" w:afterAutospacing="1"/>
      <w:ind w:left="284"/>
      <w:jc w:val="left"/>
      <w:outlineLvl w:val="1"/>
    </w:pPr>
    <w:rPr>
      <w:rFonts w:ascii="Arial" w:hAnsi="Arial"/>
      <w:b/>
      <w:bCs/>
      <w:sz w:val="28"/>
      <w:szCs w:val="28"/>
    </w:rPr>
  </w:style>
  <w:style w:type="paragraph" w:styleId="4">
    <w:name w:val="heading 3"/>
    <w:basedOn w:val="1"/>
    <w:next w:val="1"/>
    <w:qFormat/>
    <w:uiPriority w:val="0"/>
    <w:pPr>
      <w:keepNext/>
      <w:widowControl w:val="0"/>
      <w:spacing w:before="624" w:line="400" w:lineRule="exact"/>
      <w:jc w:val="center"/>
      <w:outlineLvl w:val="2"/>
    </w:pPr>
    <w:rPr>
      <w:rFonts w:ascii="Times New Roman" w:hAnsi="Times New Roman"/>
      <w:b/>
      <w:bCs/>
      <w:kern w:val="2"/>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99"/>
    <w:pPr>
      <w:ind w:firstLine="880" w:firstLineChars="200"/>
    </w:pPr>
  </w:style>
  <w:style w:type="paragraph" w:styleId="5">
    <w:name w:val="Normal Indent"/>
    <w:basedOn w:val="1"/>
    <w:qFormat/>
    <w:uiPriority w:val="0"/>
    <w:pPr>
      <w:spacing w:line="300" w:lineRule="auto"/>
      <w:ind w:firstLine="200" w:firstLineChars="200"/>
    </w:pPr>
    <w:rPr>
      <w:rFonts w:ascii="Times New Roman" w:hAnsi="Times New Roman"/>
      <w:kern w:val="2"/>
      <w:sz w:val="21"/>
      <w:szCs w:val="24"/>
    </w:rPr>
  </w:style>
  <w:style w:type="paragraph" w:styleId="6">
    <w:name w:val="Body Text"/>
    <w:basedOn w:val="1"/>
    <w:qFormat/>
    <w:uiPriority w:val="0"/>
    <w:pPr>
      <w:spacing w:after="120"/>
    </w:pPr>
    <w:rPr>
      <w:rFonts w:ascii="Times New Roman" w:hAnsi="Times New Roman"/>
      <w:kern w:val="2"/>
      <w:sz w:val="21"/>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w:basedOn w:val="6"/>
    <w:unhideWhenUsed/>
    <w:qFormat/>
    <w:uiPriority w:val="99"/>
    <w:pPr>
      <w:ind w:firstLine="420" w:firstLineChars="100"/>
    </w:pPr>
    <w:rPr>
      <w:szCs w:val="22"/>
    </w:rPr>
  </w:style>
  <w:style w:type="paragraph" w:customStyle="1" w:styleId="11">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2545</Words>
  <Characters>2629</Characters>
  <Lines>0</Lines>
  <Paragraphs>0</Paragraphs>
  <TotalTime>0</TotalTime>
  <ScaleCrop>false</ScaleCrop>
  <LinksUpToDate>false</LinksUpToDate>
  <CharactersWithSpaces>2739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2026-04-02T09:56:00Z</dcterms:created>
  <dc:creator>PC</dc:creator>
  <cp:lastModifiedBy>Dream</cp:lastModifiedBy>
  <dcterms:modified xsi:type="dcterms:W3CDTF">2026-04-03T06:59:16Z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eyJoZGlkIjoiODVjOGM0MDkxYzIwNWQzMTBkNDEyMmI3MTFhY2U4OTgifQ==</vt:lpwstr>
  </property>
  <property fmtid="{D5CDD505-2E9C-101B-9397-08002B2CF9AE}" pid="4" name="ICV">
    <vt:lpwstr>D840D39AA5B64E33891E9424B19D3AA1_12</vt:lpwstr>
  </property>
</Properties>
</file>