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版本号：OTXA-262003110720260402001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专项工作场地及食宿项目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OTXA-2620031107</w:t>
      </w:r>
      <w:r>
        <w:br/>
      </w:r>
      <w:r>
        <w:br/>
      </w:r>
      <w:r>
        <w:br/>
      </w:r>
    </w:p>
    <w:p>
      <w:pPr>
        <w:pStyle w:val="null3"/>
        <w:jc w:val="center"/>
        <w:outlineLvl w:val="2"/>
      </w:pPr>
      <w:r>
        <w:rPr>
          <w:rFonts w:ascii="仿宋_GB2312" w:hAnsi="仿宋_GB2312" w:cs="仿宋_GB2312" w:eastAsia="仿宋_GB2312"/>
          <w:sz w:val="28"/>
          <w:b/>
        </w:rPr>
        <w:t>中共西安市委组织部（本级）</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中共西安市委组织部（本级）</w:t>
      </w:r>
      <w:r>
        <w:rPr>
          <w:rFonts w:ascii="仿宋_GB2312" w:hAnsi="仿宋_GB2312" w:cs="仿宋_GB2312" w:eastAsia="仿宋_GB2312"/>
        </w:rPr>
        <w:t>委托，拟对</w:t>
      </w:r>
      <w:r>
        <w:rPr>
          <w:rFonts w:ascii="仿宋_GB2312" w:hAnsi="仿宋_GB2312" w:cs="仿宋_GB2312" w:eastAsia="仿宋_GB2312"/>
        </w:rPr>
        <w:t>专项工作场地及食宿项目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OTXA-2620031107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专项工作场地及食宿项目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为专项工作提供必要的场地、食宿，工作场地能够按照要求布置调整，具备架设各类设备所需条件，场地、食宿均需要封闭使用。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采购包1（专项工作场地及食宿项目）：属于专门面向中小企业采购。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2、法人代表授权书：法人代表授权书（原件）；</w:t>
      </w:r>
    </w:p>
    <w:p>
      <w:pPr>
        <w:pStyle w:val="null3"/>
      </w:pPr>
      <w:r>
        <w:rPr>
          <w:rFonts w:ascii="仿宋_GB2312" w:hAnsi="仿宋_GB2312" w:cs="仿宋_GB2312" w:eastAsia="仿宋_GB2312"/>
        </w:rPr>
        <w:t>3、财务状况报告：提供投标人2024年度经审计的财务报表；/或基本账户开户行开具的银行资信证明/或财政部门认可的政府采购专业担保机构出具的投标担保函（以上三种形式的资料提供任何一种即可）；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截止时点：谈判截止时间； 信用信息查询记录和证据留存的具体方式：网上查询结果打印。 信用信息的使用规则：凡在截止时点内，列入失信被执行人、重大税收违法案件当事人名单、政府采购严重违法失信行为记录名单的供应商，其磋商响应视为无效。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中共西安市委组织部（本级）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中共西安市委组织部（本级）经办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029-67090565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李小艺、孙翊轩、张强、方丽娜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029-89585662转805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采购包1：729,250.00元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代理服务费收费标准：代理服务费的金额参照国家发展计划委员会计价格[2002]1980号文件的规定标准计算。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中共西安市委组织部（本级）</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中共西安市委组织部（本级）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中共西安市委组织部（本级）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联系人：孙翊轩</w:t>
      </w:r>
    </w:p>
    <w:p>
      <w:pPr>
        <w:pStyle w:val="null3"/>
      </w:pPr>
      <w:r>
        <w:rPr>
          <w:rFonts w:ascii="仿宋_GB2312" w:hAnsi="仿宋_GB2312" w:cs="仿宋_GB2312" w:eastAsia="仿宋_GB2312"/>
        </w:rPr>
        <w:t>联系电话：029-89585662转805</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为专项工作提供必要的场地、食宿，工作场地能够按照要求布置调整，具备架设各类设备所需条件，场地、食宿均需要封闭使用。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729,250.00</w:t>
      </w:r>
    </w:p>
    <w:p>
      <w:pPr>
        <w:pStyle w:val="null3"/>
      </w:pPr>
      <w:r>
        <w:rPr>
          <w:rFonts w:ascii="仿宋_GB2312" w:hAnsi="仿宋_GB2312" w:cs="仿宋_GB2312" w:eastAsia="仿宋_GB2312"/>
        </w:rPr>
        <w:t>采购包最高限价（元）: 729,250.00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场地租用及食宿服务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729,250.00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标的名称：场地租用及食宿服务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、服务期限：4月下旬和5月上中旬集中开展专项工作。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、定制数量及内容</w:t>
            </w:r>
          </w:p>
          <w:p>
            <w:pPr>
              <w:pStyle w:val="null3"/>
            </w:pPr>
            <w:r>
              <w:rPr>
                <w:rFonts w:ascii="仿宋_GB2312" w:hAnsi="仿宋_GB2312" w:cs="仿宋_GB2312" w:eastAsia="仿宋_GB2312"/>
                <w:sz w:val="20"/>
              </w:rPr>
              <w:t>阶段</w:t>
            </w:r>
            <w:r>
              <w:rPr>
                <w:rFonts w:ascii="仿宋_GB2312" w:hAnsi="仿宋_GB2312" w:cs="仿宋_GB2312" w:eastAsia="仿宋_GB2312"/>
                <w:sz w:val="20"/>
              </w:rPr>
              <w:t>1</w:t>
            </w:r>
            <w:r>
              <w:rPr>
                <w:rFonts w:ascii="仿宋_GB2312" w:hAnsi="仿宋_GB2312" w:cs="仿宋_GB2312" w:eastAsia="仿宋_GB2312"/>
                <w:sz w:val="20"/>
              </w:rPr>
              <w:t>：</w:t>
            </w:r>
          </w:p>
          <w:p>
            <w:pPr>
              <w:pStyle w:val="null3"/>
            </w:pPr>
            <w:r>
              <w:rPr>
                <w:rFonts w:ascii="仿宋_GB2312" w:hAnsi="仿宋_GB2312" w:cs="仿宋_GB2312" w:eastAsia="仿宋_GB2312"/>
                <w:sz w:val="20"/>
              </w:rPr>
              <w:t>①能够提供</w:t>
            </w:r>
            <w:r>
              <w:rPr>
                <w:rFonts w:ascii="仿宋_GB2312" w:hAnsi="仿宋_GB2312" w:cs="仿宋_GB2312" w:eastAsia="仿宋_GB2312"/>
                <w:sz w:val="20"/>
              </w:rPr>
              <w:t>30</w:t>
            </w:r>
            <w:r>
              <w:rPr>
                <w:rFonts w:ascii="仿宋_GB2312" w:hAnsi="仿宋_GB2312" w:cs="仿宋_GB2312" w:eastAsia="仿宋_GB2312"/>
                <w:sz w:val="20"/>
              </w:rPr>
              <w:t>个标准间（住宿）（</w:t>
            </w:r>
            <w:r>
              <w:rPr>
                <w:rFonts w:ascii="仿宋_GB2312" w:hAnsi="仿宋_GB2312" w:cs="仿宋_GB2312" w:eastAsia="仿宋_GB2312"/>
                <w:sz w:val="20"/>
              </w:rPr>
              <w:t>23</w:t>
            </w:r>
            <w:r>
              <w:rPr>
                <w:rFonts w:ascii="仿宋_GB2312" w:hAnsi="仿宋_GB2312" w:cs="仿宋_GB2312" w:eastAsia="仿宋_GB2312"/>
                <w:sz w:val="20"/>
              </w:rPr>
              <w:t>平米以上）；</w:t>
            </w:r>
          </w:p>
          <w:p>
            <w:pPr>
              <w:pStyle w:val="null3"/>
            </w:pPr>
            <w:r>
              <w:rPr>
                <w:rFonts w:ascii="仿宋_GB2312" w:hAnsi="仿宋_GB2312" w:cs="仿宋_GB2312" w:eastAsia="仿宋_GB2312"/>
                <w:sz w:val="20"/>
              </w:rPr>
              <w:t>②可容纳</w:t>
            </w:r>
            <w:r>
              <w:rPr>
                <w:rFonts w:ascii="仿宋_GB2312" w:hAnsi="仿宋_GB2312" w:cs="仿宋_GB2312" w:eastAsia="仿宋_GB2312"/>
                <w:sz w:val="20"/>
              </w:rPr>
              <w:t>50</w:t>
            </w:r>
            <w:r>
              <w:rPr>
                <w:rFonts w:ascii="仿宋_GB2312" w:hAnsi="仿宋_GB2312" w:cs="仿宋_GB2312" w:eastAsia="仿宋_GB2312"/>
                <w:sz w:val="20"/>
              </w:rPr>
              <w:t>人的室内场地</w:t>
            </w:r>
            <w:r>
              <w:rPr>
                <w:rFonts w:ascii="仿宋_GB2312" w:hAnsi="仿宋_GB2312" w:cs="仿宋_GB2312" w:eastAsia="仿宋_GB2312"/>
                <w:sz w:val="20"/>
              </w:rPr>
              <w:t>1-2</w:t>
            </w:r>
            <w:r>
              <w:rPr>
                <w:rFonts w:ascii="仿宋_GB2312" w:hAnsi="仿宋_GB2312" w:cs="仿宋_GB2312" w:eastAsia="仿宋_GB2312"/>
                <w:sz w:val="20"/>
              </w:rPr>
              <w:t>个（需桌椅）（</w:t>
            </w:r>
            <w:r>
              <w:rPr>
                <w:rFonts w:ascii="仿宋_GB2312" w:hAnsi="仿宋_GB2312" w:cs="仿宋_GB2312" w:eastAsia="仿宋_GB2312"/>
                <w:sz w:val="20"/>
              </w:rPr>
              <w:t>500</w:t>
            </w:r>
            <w:r>
              <w:rPr>
                <w:rFonts w:ascii="仿宋_GB2312" w:hAnsi="仿宋_GB2312" w:cs="仿宋_GB2312" w:eastAsia="仿宋_GB2312"/>
                <w:sz w:val="20"/>
              </w:rPr>
              <w:t>平米以上，约需</w:t>
            </w:r>
            <w:r>
              <w:rPr>
                <w:rFonts w:ascii="仿宋_GB2312" w:hAnsi="仿宋_GB2312" w:cs="仿宋_GB2312" w:eastAsia="仿宋_GB2312"/>
                <w:sz w:val="20"/>
              </w:rPr>
              <w:t>30</w:t>
            </w:r>
            <w:r>
              <w:rPr>
                <w:rFonts w:ascii="仿宋_GB2312" w:hAnsi="仿宋_GB2312" w:cs="仿宋_GB2312" w:eastAsia="仿宋_GB2312"/>
                <w:sz w:val="20"/>
              </w:rPr>
              <w:t>张桌椅，类似营业大厅布置，每个办公桌需有电源，无需音响）；</w:t>
            </w:r>
          </w:p>
          <w:p>
            <w:pPr>
              <w:pStyle w:val="null3"/>
            </w:pPr>
            <w:r>
              <w:rPr>
                <w:rFonts w:ascii="仿宋_GB2312" w:hAnsi="仿宋_GB2312" w:cs="仿宋_GB2312" w:eastAsia="仿宋_GB2312"/>
                <w:sz w:val="20"/>
              </w:rPr>
              <w:t>③可容纳</w:t>
            </w:r>
            <w:r>
              <w:rPr>
                <w:rFonts w:ascii="仿宋_GB2312" w:hAnsi="仿宋_GB2312" w:cs="仿宋_GB2312" w:eastAsia="仿宋_GB2312"/>
                <w:sz w:val="20"/>
              </w:rPr>
              <w:t>300</w:t>
            </w:r>
            <w:r>
              <w:rPr>
                <w:rFonts w:ascii="仿宋_GB2312" w:hAnsi="仿宋_GB2312" w:cs="仿宋_GB2312" w:eastAsia="仿宋_GB2312"/>
                <w:sz w:val="20"/>
              </w:rPr>
              <w:t>人的室内场地</w:t>
            </w:r>
            <w:r>
              <w:rPr>
                <w:rFonts w:ascii="仿宋_GB2312" w:hAnsi="仿宋_GB2312" w:cs="仿宋_GB2312" w:eastAsia="仿宋_GB2312"/>
                <w:sz w:val="20"/>
              </w:rPr>
              <w:t>1</w:t>
            </w:r>
            <w:r>
              <w:rPr>
                <w:rFonts w:ascii="仿宋_GB2312" w:hAnsi="仿宋_GB2312" w:cs="仿宋_GB2312" w:eastAsia="仿宋_GB2312"/>
                <w:sz w:val="20"/>
              </w:rPr>
              <w:t>个（需座椅）（</w:t>
            </w:r>
            <w:r>
              <w:rPr>
                <w:rFonts w:ascii="仿宋_GB2312" w:hAnsi="仿宋_GB2312" w:cs="仿宋_GB2312" w:eastAsia="仿宋_GB2312"/>
                <w:sz w:val="20"/>
              </w:rPr>
              <w:t>300</w:t>
            </w:r>
            <w:r>
              <w:rPr>
                <w:rFonts w:ascii="仿宋_GB2312" w:hAnsi="仿宋_GB2312" w:cs="仿宋_GB2312" w:eastAsia="仿宋_GB2312"/>
                <w:sz w:val="20"/>
              </w:rPr>
              <w:t>人就坐不拥挤，</w:t>
            </w:r>
            <w:r>
              <w:rPr>
                <w:rFonts w:ascii="仿宋_GB2312" w:hAnsi="仿宋_GB2312" w:cs="仿宋_GB2312" w:eastAsia="仿宋_GB2312"/>
                <w:sz w:val="20"/>
              </w:rPr>
              <w:t>配备</w:t>
            </w:r>
            <w:r>
              <w:rPr>
                <w:rFonts w:ascii="仿宋_GB2312" w:hAnsi="仿宋_GB2312" w:cs="仿宋_GB2312" w:eastAsia="仿宋_GB2312"/>
                <w:sz w:val="20"/>
              </w:rPr>
              <w:t>桌子，无需音响）；</w:t>
            </w:r>
          </w:p>
          <w:p>
            <w:pPr>
              <w:pStyle w:val="null3"/>
            </w:pPr>
            <w:r>
              <w:rPr>
                <w:rFonts w:ascii="仿宋_GB2312" w:hAnsi="仿宋_GB2312" w:cs="仿宋_GB2312" w:eastAsia="仿宋_GB2312"/>
                <w:sz w:val="20"/>
              </w:rPr>
              <w:t>④满足</w:t>
            </w:r>
            <w:r>
              <w:rPr>
                <w:rFonts w:ascii="仿宋_GB2312" w:hAnsi="仿宋_GB2312" w:cs="仿宋_GB2312" w:eastAsia="仿宋_GB2312"/>
                <w:sz w:val="20"/>
              </w:rPr>
              <w:t>60</w:t>
            </w:r>
            <w:r>
              <w:rPr>
                <w:rFonts w:ascii="仿宋_GB2312" w:hAnsi="仿宋_GB2312" w:cs="仿宋_GB2312" w:eastAsia="仿宋_GB2312"/>
                <w:sz w:val="20"/>
              </w:rPr>
              <w:t>人用餐（自助餐，荤素搭配，无需少数民族餐厅）；</w:t>
            </w:r>
          </w:p>
          <w:p>
            <w:pPr>
              <w:pStyle w:val="null3"/>
            </w:pPr>
            <w:r>
              <w:rPr>
                <w:rFonts w:ascii="仿宋_GB2312" w:hAnsi="仿宋_GB2312" w:cs="仿宋_GB2312" w:eastAsia="仿宋_GB2312"/>
                <w:sz w:val="20"/>
              </w:rPr>
              <w:t>⑤使用时间</w:t>
            </w:r>
            <w:r>
              <w:rPr>
                <w:rFonts w:ascii="仿宋_GB2312" w:hAnsi="仿宋_GB2312" w:cs="仿宋_GB2312" w:eastAsia="仿宋_GB2312"/>
                <w:sz w:val="20"/>
              </w:rPr>
              <w:t>6</w:t>
            </w:r>
            <w:r>
              <w:rPr>
                <w:rFonts w:ascii="仿宋_GB2312" w:hAnsi="仿宋_GB2312" w:cs="仿宋_GB2312" w:eastAsia="仿宋_GB2312"/>
                <w:sz w:val="20"/>
              </w:rPr>
              <w:t>天（</w:t>
            </w:r>
            <w:r>
              <w:rPr>
                <w:rFonts w:ascii="仿宋_GB2312" w:hAnsi="仿宋_GB2312" w:cs="仿宋_GB2312" w:eastAsia="仿宋_GB2312"/>
                <w:sz w:val="20"/>
              </w:rPr>
              <w:t>4</w:t>
            </w:r>
            <w:r>
              <w:rPr>
                <w:rFonts w:ascii="仿宋_GB2312" w:hAnsi="仿宋_GB2312" w:cs="仿宋_GB2312" w:eastAsia="仿宋_GB2312"/>
                <w:sz w:val="20"/>
              </w:rPr>
              <w:t>月下旬）。</w:t>
            </w:r>
          </w:p>
          <w:p>
            <w:pPr>
              <w:pStyle w:val="null3"/>
            </w:pPr>
            <w:r>
              <w:rPr>
                <w:rFonts w:ascii="仿宋_GB2312" w:hAnsi="仿宋_GB2312" w:cs="仿宋_GB2312" w:eastAsia="仿宋_GB2312"/>
                <w:sz w:val="21"/>
              </w:rPr>
              <w:t>以上场地及办公、住宿用房、用餐地点均需封闭相接。</w:t>
            </w:r>
          </w:p>
          <w:p>
            <w:pPr>
              <w:pStyle w:val="null3"/>
            </w:pPr>
            <w:r>
              <w:rPr>
                <w:rFonts w:ascii="仿宋_GB2312" w:hAnsi="仿宋_GB2312" w:cs="仿宋_GB2312" w:eastAsia="仿宋_GB2312"/>
                <w:sz w:val="20"/>
              </w:rPr>
              <w:t>阶段</w:t>
            </w:r>
            <w:r>
              <w:rPr>
                <w:rFonts w:ascii="仿宋_GB2312" w:hAnsi="仿宋_GB2312" w:cs="仿宋_GB2312" w:eastAsia="仿宋_GB2312"/>
                <w:sz w:val="20"/>
              </w:rPr>
              <w:t>2</w:t>
            </w:r>
            <w:r>
              <w:rPr>
                <w:rFonts w:ascii="仿宋_GB2312" w:hAnsi="仿宋_GB2312" w:cs="仿宋_GB2312" w:eastAsia="仿宋_GB2312"/>
                <w:sz w:val="20"/>
              </w:rPr>
              <w:t>：</w:t>
            </w:r>
          </w:p>
          <w:p>
            <w:pPr>
              <w:pStyle w:val="null3"/>
            </w:pPr>
            <w:r>
              <w:rPr>
                <w:rFonts w:ascii="仿宋_GB2312" w:hAnsi="仿宋_GB2312" w:cs="仿宋_GB2312" w:eastAsia="仿宋_GB2312"/>
                <w:sz w:val="20"/>
              </w:rPr>
              <w:t>①能够提供</w:t>
            </w:r>
            <w:r>
              <w:rPr>
                <w:rFonts w:ascii="仿宋_GB2312" w:hAnsi="仿宋_GB2312" w:cs="仿宋_GB2312" w:eastAsia="仿宋_GB2312"/>
                <w:sz w:val="20"/>
              </w:rPr>
              <w:t>125</w:t>
            </w:r>
            <w:r>
              <w:rPr>
                <w:rFonts w:ascii="仿宋_GB2312" w:hAnsi="仿宋_GB2312" w:cs="仿宋_GB2312" w:eastAsia="仿宋_GB2312"/>
                <w:sz w:val="20"/>
              </w:rPr>
              <w:t>个标准间（住宿）（</w:t>
            </w:r>
            <w:r>
              <w:rPr>
                <w:rFonts w:ascii="仿宋_GB2312" w:hAnsi="仿宋_GB2312" w:cs="仿宋_GB2312" w:eastAsia="仿宋_GB2312"/>
                <w:sz w:val="20"/>
              </w:rPr>
              <w:t>23</w:t>
            </w:r>
            <w:r>
              <w:rPr>
                <w:rFonts w:ascii="仿宋_GB2312" w:hAnsi="仿宋_GB2312" w:cs="仿宋_GB2312" w:eastAsia="仿宋_GB2312"/>
                <w:sz w:val="20"/>
              </w:rPr>
              <w:t>平米以上）；</w:t>
            </w:r>
          </w:p>
          <w:p>
            <w:pPr>
              <w:pStyle w:val="null3"/>
            </w:pPr>
            <w:r>
              <w:rPr>
                <w:rFonts w:ascii="仿宋_GB2312" w:hAnsi="仿宋_GB2312" w:cs="仿宋_GB2312" w:eastAsia="仿宋_GB2312"/>
                <w:sz w:val="20"/>
              </w:rPr>
              <w:t>②可分别容纳</w:t>
            </w:r>
            <w:r>
              <w:rPr>
                <w:rFonts w:ascii="仿宋_GB2312" w:hAnsi="仿宋_GB2312" w:cs="仿宋_GB2312" w:eastAsia="仿宋_GB2312"/>
                <w:sz w:val="20"/>
              </w:rPr>
              <w:t>10</w:t>
            </w:r>
            <w:r>
              <w:rPr>
                <w:rFonts w:ascii="仿宋_GB2312" w:hAnsi="仿宋_GB2312" w:cs="仿宋_GB2312" w:eastAsia="仿宋_GB2312"/>
                <w:sz w:val="20"/>
              </w:rPr>
              <w:t>人开展工作的房间</w:t>
            </w:r>
            <w:r>
              <w:rPr>
                <w:rFonts w:ascii="仿宋_GB2312" w:hAnsi="仿宋_GB2312" w:cs="仿宋_GB2312" w:eastAsia="仿宋_GB2312"/>
                <w:sz w:val="20"/>
              </w:rPr>
              <w:t>19</w:t>
            </w:r>
            <w:r>
              <w:rPr>
                <w:rFonts w:ascii="仿宋_GB2312" w:hAnsi="仿宋_GB2312" w:cs="仿宋_GB2312" w:eastAsia="仿宋_GB2312"/>
                <w:sz w:val="20"/>
              </w:rPr>
              <w:t>个（需按照要求布置，</w:t>
            </w:r>
            <w:r>
              <w:rPr>
                <w:rFonts w:ascii="仿宋_GB2312" w:hAnsi="仿宋_GB2312" w:cs="仿宋_GB2312" w:eastAsia="仿宋_GB2312"/>
                <w:sz w:val="20"/>
              </w:rPr>
              <w:t>1</w:t>
            </w:r>
            <w:r>
              <w:rPr>
                <w:rFonts w:ascii="仿宋_GB2312" w:hAnsi="仿宋_GB2312" w:cs="仿宋_GB2312" w:eastAsia="仿宋_GB2312"/>
                <w:sz w:val="20"/>
              </w:rPr>
              <w:t>人单独桌椅，</w:t>
            </w:r>
            <w:r>
              <w:rPr>
                <w:rFonts w:ascii="仿宋_GB2312" w:hAnsi="仿宋_GB2312" w:cs="仿宋_GB2312" w:eastAsia="仿宋_GB2312"/>
                <w:sz w:val="20"/>
              </w:rPr>
              <w:t>7</w:t>
            </w:r>
            <w:r>
              <w:rPr>
                <w:rFonts w:ascii="仿宋_GB2312" w:hAnsi="仿宋_GB2312" w:cs="仿宋_GB2312" w:eastAsia="仿宋_GB2312"/>
                <w:sz w:val="20"/>
              </w:rPr>
              <w:t>人并排与</w:t>
            </w:r>
            <w:r>
              <w:rPr>
                <w:rFonts w:ascii="仿宋_GB2312" w:hAnsi="仿宋_GB2312" w:cs="仿宋_GB2312" w:eastAsia="仿宋_GB2312"/>
                <w:sz w:val="20"/>
              </w:rPr>
              <w:t>1</w:t>
            </w:r>
            <w:r>
              <w:rPr>
                <w:rFonts w:ascii="仿宋_GB2312" w:hAnsi="仿宋_GB2312" w:cs="仿宋_GB2312" w:eastAsia="仿宋_GB2312"/>
                <w:sz w:val="20"/>
              </w:rPr>
              <w:t>人面对就坐，距离</w:t>
            </w:r>
            <w:r>
              <w:rPr>
                <w:rFonts w:ascii="仿宋_GB2312" w:hAnsi="仿宋_GB2312" w:cs="仿宋_GB2312" w:eastAsia="仿宋_GB2312"/>
                <w:sz w:val="20"/>
              </w:rPr>
              <w:t>2</w:t>
            </w:r>
            <w:r>
              <w:rPr>
                <w:rFonts w:ascii="仿宋_GB2312" w:hAnsi="仿宋_GB2312" w:cs="仿宋_GB2312" w:eastAsia="仿宋_GB2312"/>
                <w:sz w:val="20"/>
              </w:rPr>
              <w:t>米左右或以上，另</w:t>
            </w:r>
            <w:r>
              <w:rPr>
                <w:rFonts w:ascii="仿宋_GB2312" w:hAnsi="仿宋_GB2312" w:cs="仿宋_GB2312" w:eastAsia="仿宋_GB2312"/>
                <w:sz w:val="20"/>
              </w:rPr>
              <w:t>2</w:t>
            </w:r>
            <w:r>
              <w:rPr>
                <w:rFonts w:ascii="仿宋_GB2312" w:hAnsi="仿宋_GB2312" w:cs="仿宋_GB2312" w:eastAsia="仿宋_GB2312"/>
                <w:sz w:val="20"/>
              </w:rPr>
              <w:t>人单独桌椅在旁边就坐）；</w:t>
            </w:r>
          </w:p>
          <w:p>
            <w:pPr>
              <w:pStyle w:val="null3"/>
            </w:pPr>
            <w:r>
              <w:rPr>
                <w:rFonts w:ascii="仿宋_GB2312" w:hAnsi="仿宋_GB2312" w:cs="仿宋_GB2312" w:eastAsia="仿宋_GB2312"/>
                <w:sz w:val="20"/>
              </w:rPr>
              <w:t>③可容纳</w:t>
            </w:r>
            <w:r>
              <w:rPr>
                <w:rFonts w:ascii="仿宋_GB2312" w:hAnsi="仿宋_GB2312" w:cs="仿宋_GB2312" w:eastAsia="仿宋_GB2312"/>
                <w:sz w:val="20"/>
              </w:rPr>
              <w:t>30</w:t>
            </w:r>
            <w:r>
              <w:rPr>
                <w:rFonts w:ascii="仿宋_GB2312" w:hAnsi="仿宋_GB2312" w:cs="仿宋_GB2312" w:eastAsia="仿宋_GB2312"/>
                <w:sz w:val="20"/>
              </w:rPr>
              <w:t>人的房间</w:t>
            </w:r>
            <w:r>
              <w:rPr>
                <w:rFonts w:ascii="仿宋_GB2312" w:hAnsi="仿宋_GB2312" w:cs="仿宋_GB2312" w:eastAsia="仿宋_GB2312"/>
                <w:sz w:val="20"/>
              </w:rPr>
              <w:t>1</w:t>
            </w:r>
            <w:r>
              <w:rPr>
                <w:rFonts w:ascii="仿宋_GB2312" w:hAnsi="仿宋_GB2312" w:cs="仿宋_GB2312" w:eastAsia="仿宋_GB2312"/>
                <w:sz w:val="20"/>
              </w:rPr>
              <w:t>个（需桌椅，需独立电源）；</w:t>
            </w:r>
          </w:p>
          <w:p>
            <w:pPr>
              <w:pStyle w:val="null3"/>
            </w:pPr>
            <w:r>
              <w:rPr>
                <w:rFonts w:ascii="仿宋_GB2312" w:hAnsi="仿宋_GB2312" w:cs="仿宋_GB2312" w:eastAsia="仿宋_GB2312"/>
                <w:sz w:val="20"/>
              </w:rPr>
              <w:t>④可容纳</w:t>
            </w:r>
            <w:r>
              <w:rPr>
                <w:rFonts w:ascii="仿宋_GB2312" w:hAnsi="仿宋_GB2312" w:cs="仿宋_GB2312" w:eastAsia="仿宋_GB2312"/>
                <w:sz w:val="20"/>
              </w:rPr>
              <w:t>150</w:t>
            </w:r>
            <w:r>
              <w:rPr>
                <w:rFonts w:ascii="仿宋_GB2312" w:hAnsi="仿宋_GB2312" w:cs="仿宋_GB2312" w:eastAsia="仿宋_GB2312"/>
                <w:sz w:val="20"/>
              </w:rPr>
              <w:t>人的室内场地</w:t>
            </w:r>
            <w:r>
              <w:rPr>
                <w:rFonts w:ascii="仿宋_GB2312" w:hAnsi="仿宋_GB2312" w:cs="仿宋_GB2312" w:eastAsia="仿宋_GB2312"/>
                <w:sz w:val="20"/>
              </w:rPr>
              <w:t>1</w:t>
            </w:r>
            <w:r>
              <w:rPr>
                <w:rFonts w:ascii="仿宋_GB2312" w:hAnsi="仿宋_GB2312" w:cs="仿宋_GB2312" w:eastAsia="仿宋_GB2312"/>
                <w:sz w:val="20"/>
              </w:rPr>
              <w:t>个（需桌椅，每排坐</w:t>
            </w:r>
            <w:r>
              <w:rPr>
                <w:rFonts w:ascii="仿宋_GB2312" w:hAnsi="仿宋_GB2312" w:cs="仿宋_GB2312" w:eastAsia="仿宋_GB2312"/>
                <w:sz w:val="20"/>
              </w:rPr>
              <w:t>15</w:t>
            </w:r>
            <w:r>
              <w:rPr>
                <w:rFonts w:ascii="仿宋_GB2312" w:hAnsi="仿宋_GB2312" w:cs="仿宋_GB2312" w:eastAsia="仿宋_GB2312"/>
                <w:sz w:val="20"/>
              </w:rPr>
              <w:t>人，至少</w:t>
            </w:r>
            <w:r>
              <w:rPr>
                <w:rFonts w:ascii="仿宋_GB2312" w:hAnsi="仿宋_GB2312" w:cs="仿宋_GB2312" w:eastAsia="仿宋_GB2312"/>
                <w:sz w:val="20"/>
              </w:rPr>
              <w:t>10</w:t>
            </w:r>
            <w:r>
              <w:rPr>
                <w:rFonts w:ascii="仿宋_GB2312" w:hAnsi="仿宋_GB2312" w:cs="仿宋_GB2312" w:eastAsia="仿宋_GB2312"/>
                <w:sz w:val="20"/>
              </w:rPr>
              <w:t>排）；</w:t>
            </w:r>
          </w:p>
          <w:p>
            <w:pPr>
              <w:pStyle w:val="null3"/>
            </w:pPr>
            <w:r>
              <w:rPr>
                <w:rFonts w:ascii="仿宋_GB2312" w:hAnsi="仿宋_GB2312" w:cs="仿宋_GB2312" w:eastAsia="仿宋_GB2312"/>
                <w:sz w:val="20"/>
              </w:rPr>
              <w:t>⑤可容纳</w:t>
            </w:r>
            <w:r>
              <w:rPr>
                <w:rFonts w:ascii="仿宋_GB2312" w:hAnsi="仿宋_GB2312" w:cs="仿宋_GB2312" w:eastAsia="仿宋_GB2312"/>
                <w:sz w:val="20"/>
              </w:rPr>
              <w:t>400</w:t>
            </w:r>
            <w:r>
              <w:rPr>
                <w:rFonts w:ascii="仿宋_GB2312" w:hAnsi="仿宋_GB2312" w:cs="仿宋_GB2312" w:eastAsia="仿宋_GB2312"/>
                <w:sz w:val="20"/>
              </w:rPr>
              <w:t>人的室内场地（可分为</w:t>
            </w:r>
            <w:r>
              <w:rPr>
                <w:rFonts w:ascii="仿宋_GB2312" w:hAnsi="仿宋_GB2312" w:cs="仿宋_GB2312" w:eastAsia="仿宋_GB2312"/>
                <w:sz w:val="20"/>
              </w:rPr>
              <w:t>1-2</w:t>
            </w:r>
            <w:r>
              <w:rPr>
                <w:rFonts w:ascii="仿宋_GB2312" w:hAnsi="仿宋_GB2312" w:cs="仿宋_GB2312" w:eastAsia="仿宋_GB2312"/>
                <w:sz w:val="20"/>
              </w:rPr>
              <w:t>个，需座椅）（</w:t>
            </w:r>
            <w:r>
              <w:rPr>
                <w:rFonts w:ascii="仿宋_GB2312" w:hAnsi="仿宋_GB2312" w:cs="仿宋_GB2312" w:eastAsia="仿宋_GB2312"/>
                <w:sz w:val="20"/>
              </w:rPr>
              <w:t>600</w:t>
            </w:r>
            <w:r>
              <w:rPr>
                <w:rFonts w:ascii="仿宋_GB2312" w:hAnsi="仿宋_GB2312" w:cs="仿宋_GB2312" w:eastAsia="仿宋_GB2312"/>
                <w:sz w:val="20"/>
              </w:rPr>
              <w:t>平米以上，每人独立座椅，无需桌子，无需音响，）；</w:t>
            </w:r>
          </w:p>
          <w:p>
            <w:pPr>
              <w:pStyle w:val="null3"/>
            </w:pPr>
            <w:r>
              <w:rPr>
                <w:rFonts w:ascii="仿宋_GB2312" w:hAnsi="仿宋_GB2312" w:cs="仿宋_GB2312" w:eastAsia="仿宋_GB2312"/>
                <w:sz w:val="20"/>
              </w:rPr>
              <w:t>⑥可容纳</w:t>
            </w:r>
            <w:r>
              <w:rPr>
                <w:rFonts w:ascii="仿宋_GB2312" w:hAnsi="仿宋_GB2312" w:cs="仿宋_GB2312" w:eastAsia="仿宋_GB2312"/>
                <w:sz w:val="20"/>
              </w:rPr>
              <w:t>400</w:t>
            </w:r>
            <w:r>
              <w:rPr>
                <w:rFonts w:ascii="仿宋_GB2312" w:hAnsi="仿宋_GB2312" w:cs="仿宋_GB2312" w:eastAsia="仿宋_GB2312"/>
                <w:sz w:val="20"/>
              </w:rPr>
              <w:t>人的室外场地</w:t>
            </w:r>
            <w:r>
              <w:rPr>
                <w:rFonts w:ascii="仿宋_GB2312" w:hAnsi="仿宋_GB2312" w:cs="仿宋_GB2312" w:eastAsia="仿宋_GB2312"/>
                <w:sz w:val="20"/>
              </w:rPr>
              <w:t>1</w:t>
            </w:r>
            <w:r>
              <w:rPr>
                <w:rFonts w:ascii="仿宋_GB2312" w:hAnsi="仿宋_GB2312" w:cs="仿宋_GB2312" w:eastAsia="仿宋_GB2312"/>
                <w:sz w:val="20"/>
              </w:rPr>
              <w:t>个（能够独立封闭使用）（</w:t>
            </w:r>
            <w:r>
              <w:rPr>
                <w:rFonts w:ascii="仿宋_GB2312" w:hAnsi="仿宋_GB2312" w:cs="仿宋_GB2312" w:eastAsia="仿宋_GB2312"/>
                <w:sz w:val="20"/>
              </w:rPr>
              <w:t>800</w:t>
            </w:r>
            <w:r>
              <w:rPr>
                <w:rFonts w:ascii="仿宋_GB2312" w:hAnsi="仿宋_GB2312" w:cs="仿宋_GB2312" w:eastAsia="仿宋_GB2312"/>
                <w:sz w:val="20"/>
              </w:rPr>
              <w:t>平米以上，需至少</w:t>
            </w:r>
            <w:r>
              <w:rPr>
                <w:rFonts w:ascii="仿宋_GB2312" w:hAnsi="仿宋_GB2312" w:cs="仿宋_GB2312" w:eastAsia="仿宋_GB2312"/>
                <w:sz w:val="20"/>
              </w:rPr>
              <w:t>15</w:t>
            </w:r>
            <w:r>
              <w:rPr>
                <w:rFonts w:ascii="仿宋_GB2312" w:hAnsi="仿宋_GB2312" w:cs="仿宋_GB2312" w:eastAsia="仿宋_GB2312"/>
                <w:sz w:val="20"/>
              </w:rPr>
              <w:t>个长条桌，无需座椅，无需音响）；</w:t>
            </w:r>
          </w:p>
          <w:p>
            <w:pPr>
              <w:pStyle w:val="null3"/>
            </w:pPr>
            <w:r>
              <w:rPr>
                <w:rFonts w:ascii="仿宋_GB2312" w:hAnsi="仿宋_GB2312" w:cs="仿宋_GB2312" w:eastAsia="仿宋_GB2312"/>
                <w:sz w:val="20"/>
              </w:rPr>
              <w:t>⑦满足</w:t>
            </w:r>
            <w:r>
              <w:rPr>
                <w:rFonts w:ascii="仿宋_GB2312" w:hAnsi="仿宋_GB2312" w:cs="仿宋_GB2312" w:eastAsia="仿宋_GB2312"/>
                <w:sz w:val="20"/>
              </w:rPr>
              <w:t>230</w:t>
            </w:r>
            <w:r>
              <w:rPr>
                <w:rFonts w:ascii="仿宋_GB2312" w:hAnsi="仿宋_GB2312" w:cs="仿宋_GB2312" w:eastAsia="仿宋_GB2312"/>
                <w:sz w:val="20"/>
              </w:rPr>
              <w:t>人用餐（自助餐，荤素搭配，无需少数民族餐厅）；</w:t>
            </w:r>
          </w:p>
          <w:p>
            <w:pPr>
              <w:pStyle w:val="null3"/>
            </w:pPr>
            <w:r>
              <w:rPr>
                <w:rFonts w:ascii="仿宋_GB2312" w:hAnsi="仿宋_GB2312" w:cs="仿宋_GB2312" w:eastAsia="仿宋_GB2312"/>
                <w:sz w:val="20"/>
              </w:rPr>
              <w:t>⑧使用时间</w:t>
            </w:r>
            <w:r>
              <w:rPr>
                <w:rFonts w:ascii="仿宋_GB2312" w:hAnsi="仿宋_GB2312" w:cs="仿宋_GB2312" w:eastAsia="仿宋_GB2312"/>
                <w:sz w:val="20"/>
              </w:rPr>
              <w:t>5</w:t>
            </w:r>
            <w:r>
              <w:rPr>
                <w:rFonts w:ascii="仿宋_GB2312" w:hAnsi="仿宋_GB2312" w:cs="仿宋_GB2312" w:eastAsia="仿宋_GB2312"/>
                <w:sz w:val="20"/>
              </w:rPr>
              <w:t>天（</w:t>
            </w:r>
            <w:r>
              <w:rPr>
                <w:rFonts w:ascii="仿宋_GB2312" w:hAnsi="仿宋_GB2312" w:cs="仿宋_GB2312" w:eastAsia="仿宋_GB2312"/>
                <w:sz w:val="20"/>
              </w:rPr>
              <w:t>5</w:t>
            </w:r>
            <w:r>
              <w:rPr>
                <w:rFonts w:ascii="仿宋_GB2312" w:hAnsi="仿宋_GB2312" w:cs="仿宋_GB2312" w:eastAsia="仿宋_GB2312"/>
                <w:sz w:val="20"/>
              </w:rPr>
              <w:t>月中上旬）。</w:t>
            </w:r>
          </w:p>
          <w:p>
            <w:pPr>
              <w:pStyle w:val="null3"/>
            </w:pPr>
            <w:r>
              <w:rPr>
                <w:rFonts w:ascii="仿宋_GB2312" w:hAnsi="仿宋_GB2312" w:cs="仿宋_GB2312" w:eastAsia="仿宋_GB2312"/>
                <w:sz w:val="20"/>
              </w:rPr>
              <w:t>以上场地及办公、住宿用房、用餐地点均需封闭相接，办公区域包括链接区域需有电源能够架设摄像机。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3</w:t>
            </w:r>
            <w:r>
              <w:rPr>
                <w:rFonts w:ascii="仿宋_GB2312" w:hAnsi="仿宋_GB2312" w:cs="仿宋_GB2312" w:eastAsia="仿宋_GB2312"/>
                <w:sz w:val="20"/>
              </w:rPr>
              <w:t>、住宿费标准不超过300元/间/天，餐费标准不超过150元/人/天。</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w:t>
            </w:r>
            <w:r>
              <w:rPr>
                <w:rFonts w:ascii="仿宋_GB2312" w:hAnsi="仿宋_GB2312" w:cs="仿宋_GB2312" w:eastAsia="仿宋_GB2312"/>
                <w:sz w:val="21"/>
              </w:rPr>
              <w:t>、服务地点：应交通便利，在西安市区（新城区、碑林区、莲湖区、雁塔区、灞桥区、未央区、长安区）及地铁站附近两公里以内。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合同签订生效后一阶段四月下旬共6天，二阶段五月中上旬共5天。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满足国家及行业相关标准。能够满足食宿、场地，各项保障工作顺利圆满完成。</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在服务周期结束且所有义务履行完毕后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投标人2024年度经审计的财务报表；/或基本账户开户行开具的银行资信证明/或财政部门认可的政府采购专业担保机构出具的投标担保函（以上三种形式的资料提供任何一种即可）；供应商需在项目电子化交易系统中按要求上传相应证明文件并进行电子签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陕西省政府采购供应商拒接政府采购领域商业贿赂承诺书.docx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法人代表授权书（原件）；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提供投标人2024年度经审计的财务报表；/或基本账户开户行开具的银行资信证明/或财政部门认可的政府采购专业担保机构出具的投标担保函（以上三种形式的资料提供任何一种即可）；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截止时点：谈判截止时间； 信用信息查询记录和证据留存的具体方式：网上查询结果打印。 信用信息的使用规则：凡在截止时点内，列入失信被执行人、重大税收违法案件当事人名单、政府采购严重违法失信行为记录名单的供应商，其磋商响应视为无效。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服务要求响应程度</w:t>
            </w:r>
          </w:p>
        </w:tc>
        <w:tc>
          <w:tcPr>
            <w:tcW w:type="dxa" w:w="2492"/>
          </w:tcPr>
          <w:p>
            <w:pPr>
              <w:pStyle w:val="null3"/>
            </w:pPr>
            <w:r>
              <w:rPr>
                <w:rFonts w:ascii="仿宋_GB2312" w:hAnsi="仿宋_GB2312" w:cs="仿宋_GB2312" w:eastAsia="仿宋_GB2312"/>
              </w:rPr>
              <w:t>依据磋商响应文件所提供的磋商响应服务要求的响应程度，按差别赋分：完全满足磋商文件服务要求，得满分； “▲”项一项不满足扣4分，一般项不满足，扣2分；扣完为止，不计负分。 注：“▲”项需提供证明材料，未提供证明材料或负偏离，该“▲”项不得分。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根据磋商文件所提供的总体实施方案，方案内容至少包括： ①总体计划流程、安排；②实施方案；③服务标准等方案，自主赋分： 上述3方面内容中每有1项分析内容完整，有具体详细的闸述且符合项目要求的得3分，最高得9分；每缺少一项内容的扣3分，每有一处需求分析内容存在缺陷或不足的扣1分，扣完为止。注：未提供总体实施方案，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场地方案</w:t>
            </w:r>
          </w:p>
        </w:tc>
        <w:tc>
          <w:tcPr>
            <w:tcW w:type="dxa" w:w="2492"/>
          </w:tcPr>
          <w:p>
            <w:pPr>
              <w:pStyle w:val="null3"/>
            </w:pPr>
            <w:r>
              <w:rPr>
                <w:rFonts w:ascii="仿宋_GB2312" w:hAnsi="仿宋_GB2312" w:cs="仿宋_GB2312" w:eastAsia="仿宋_GB2312"/>
              </w:rPr>
              <w:t>根据磋商文件所提供的场地方案，方案内容至少包括： ①场地选址及交通情况；②针对两个阶段的会场布置方案；③会场环境及封闭性情况等方案，自主赋分： 上述3方面内容中每有1项分析内容完整，有具体详细的闸述且符合项目要求的得4分，最高得12分；每缺少一项内容的扣4分，每有一处需求分析内容存在缺陷或不足的扣2分，扣完为止。注：未提供场地方案，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根据磋商响应文件所提供的服务团队方案，包括但不限于①人员岗位分配；②人员管理制度；③人员资质经验、④项目负责人等内容。 上述4方面内容中每有1项分析内容完整、岗位职责清晰、有具体详细的闸述且符合项目要求的得2分，最高得8分；每缺少一项内容的扣2分，每有一处需求分析内容存在缺陷或不足的扣1分，扣完为止。 注：未提供服务团队相关方案，本项不得分。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餐饮方案</w:t>
            </w:r>
          </w:p>
        </w:tc>
        <w:tc>
          <w:tcPr>
            <w:tcW w:type="dxa" w:w="2492"/>
          </w:tcPr>
          <w:p>
            <w:pPr>
              <w:pStyle w:val="null3"/>
            </w:pPr>
            <w:r>
              <w:rPr>
                <w:rFonts w:ascii="仿宋_GB2312" w:hAnsi="仿宋_GB2312" w:cs="仿宋_GB2312" w:eastAsia="仿宋_GB2312"/>
              </w:rPr>
              <w:t>根据磋商响应文件所提供的餐饮就餐方案，包括但不限于①就餐地点、环境；②食品质量保障；③菜品搭配方案等内容。 上述3方面内容中每有1项分析内容完整、针对性强、搭配合理、有具体详细的闸述且符合项目要求的得3分，最高得9分；每缺少一项内容的扣3分，每有一处需求分析内容存在缺陷或不足的扣1分，扣完为止。 注：未提供餐饮就餐相关方案，本项不得分。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拟提供住宿服务方案</w:t>
            </w:r>
          </w:p>
        </w:tc>
        <w:tc>
          <w:tcPr>
            <w:tcW w:type="dxa" w:w="2492"/>
          </w:tcPr>
          <w:p>
            <w:pPr>
              <w:pStyle w:val="null3"/>
            </w:pPr>
            <w:r>
              <w:rPr>
                <w:rFonts w:ascii="仿宋_GB2312" w:hAnsi="仿宋_GB2312" w:cs="仿宋_GB2312" w:eastAsia="仿宋_GB2312"/>
              </w:rPr>
              <w:t>根据磋商响应文件所提供的住宿服务方案，包括但不限于①住宿地点选择及交通情况；②住宿房间安排布局；③住宿卫生环境；④住宿安全保障措施等内容。 上述4方面内容中每有1项分析内容完整、有具体详细的闸述且符合项目要求的得3分，最高得12分；每缺少一项内容的扣3分，每有一处需求分析内容存在缺陷或不足的扣2分，扣完为止。 注：未提供住宿服务相关方案，本项不得分。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拟投入本项目用品配备方案</w:t>
            </w:r>
          </w:p>
        </w:tc>
        <w:tc>
          <w:tcPr>
            <w:tcW w:type="dxa" w:w="2492"/>
          </w:tcPr>
          <w:p>
            <w:pPr>
              <w:pStyle w:val="null3"/>
            </w:pPr>
            <w:r>
              <w:rPr>
                <w:rFonts w:ascii="仿宋_GB2312" w:hAnsi="仿宋_GB2312" w:cs="仿宋_GB2312" w:eastAsia="仿宋_GB2312"/>
              </w:rPr>
              <w:t>根据磋商响应文件所提供的用品配备方案，包括但不限于①配备饮用水及数量；②摄像机数品牌型号、数量等；③其他有利于本次活动的用品（不限于活动手册及活动证件等）等内容。 上述3方面内容中每有1项分析内容完整、针对性强、有具体详细的闸述且符合项目要求的得2分，最高得6分；每缺少一项内容的扣2分，每有一处需求分析内容存在缺陷或不足的扣 1分，扣完为止。 注：未提供用品配备相关方案，本项不得分。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根据磋商响应文件提供的针对本项目的突发事件应急预案方案，方案内容涵盖本项目全部内容，至少包括①会议过程中可能会发生的事故；②人员突发不适等内容。 上述2方面内容中每有1项分析内容完整、与项目需求吻合全面、安排合理、有具体详细的闸述且符合项目要求的得2分，最高得4分；每缺少一项内容的扣2分，每有一处需求分析内容存在缺陷或不足的扣1分，扣完为止。注：未提供突发事件应急预案，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满足磋商文件商务条款得4分，一项不满足本项不得分。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依据磋商响应文件提供的2023年3月1日起至今，磋商响应单位类似实施案例证明材料（以合同复印件为准，合同复印件至少含能反映采购内容页、双方签字盖章页等）每提供一份完整的业绩证明材料，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最低评审价为评审基准价，得20分。 2.按（评审基准价/评审价×20）的公式计算价格得分。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