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版本号：HRZBXA2026-11120260422001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绿化养护服务项目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HRZBXA2026-111</w:t>
      </w:r>
      <w:r>
        <w:br/>
      </w:r>
      <w:r>
        <w:br/>
      </w:r>
      <w:r>
        <w:br/>
      </w:r>
    </w:p>
    <w:p>
      <w:pPr>
        <w:pStyle w:val="null3"/>
        <w:jc w:val="center"/>
        <w:outlineLvl w:val="2"/>
      </w:pPr>
      <w:r>
        <w:rPr>
          <w:rFonts w:ascii="仿宋_GB2312" w:hAnsi="仿宋_GB2312" w:cs="仿宋_GB2312" w:eastAsia="仿宋_GB2312"/>
          <w:sz w:val="28"/>
          <w:b/>
        </w:rPr>
        <w:t>西安市创新港中学（创新港西安交通大学附属中学）</w:t>
      </w:r>
    </w:p>
    <w:p>
      <w:pPr>
        <w:pStyle w:val="null3"/>
        <w:jc w:val="center"/>
        <w:outlineLvl w:val="2"/>
      </w:pPr>
      <w:r>
        <w:rPr>
          <w:rFonts w:ascii="仿宋_GB2312" w:hAnsi="仿宋_GB2312" w:cs="仿宋_GB2312" w:eastAsia="仿宋_GB2312"/>
          <w:sz w:val="28"/>
          <w:b/>
        </w:rPr>
        <w:t>陕西恒瑞项目管理有限公司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陕西恒瑞项目管理有限公司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委托，拟对</w:t>
      </w:r>
      <w:r>
        <w:rPr>
          <w:rFonts w:ascii="仿宋_GB2312" w:hAnsi="仿宋_GB2312" w:cs="仿宋_GB2312" w:eastAsia="仿宋_GB2312"/>
        </w:rPr>
        <w:t>绿化养护服务项目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HRZBXA2026-111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绿化养护服务项目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市创新港中学（创新港西安交通大学附属中学）为西安市教育局直属完全公办中学。学校位于西咸新区沣西新城西部创新港南阳环东路，学校占地150.4亩，总建筑面积14.18万平方米，绿化面积3.5万平方米。设置初中部48个教学班，高中部24个教学班，学生总规模3200人。 本次招标内容：主要负责校区内的绿化养护。</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采购包1（绿化养护服务项目）：属于专门面向小微企业采购。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西安市创新港中学（创新港西安交通大学附属中学）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西咸新区沣西新城南洋环东路创新港中学</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西安市创新港中学（创新港西安交通大学附属中学）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88960399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陕西恒瑞项目管理有限公司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西安市雁塔区科技四路与鱼化一路交汇处（春风心语·春风苑东门）17号商业楼三楼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王乃义、张雨莉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18829232807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采购包1：250,000.00元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印发《招标代理服务收费管理暂行办法》的通知（计价格〔2002〕1980号）、《国家发展和改革委员会办公厅关于招标代理服务收费有关问题的通知》（发改办价格〔2003〕857号）规定标准向中标（成交）供应商收取代理服务费（不足伍仟按伍仟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和</w:t>
      </w:r>
      <w:r>
        <w:rPr>
          <w:rFonts w:ascii="仿宋_GB2312" w:hAnsi="仿宋_GB2312" w:cs="仿宋_GB2312" w:eastAsia="仿宋_GB2312"/>
        </w:rPr>
        <w:t>陕西恒瑞项目管理有限公司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陕西恒瑞项目管理有限公司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西安市创新港中学（创新港西安交通大学附属中学）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陕西恒瑞项目管理有限公司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陕西恒瑞项目管理有限公司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联系人：陕西恒瑞项目管理有限公司</w:t>
      </w:r>
    </w:p>
    <w:p>
      <w:pPr>
        <w:pStyle w:val="null3"/>
      </w:pPr>
      <w:r>
        <w:rPr>
          <w:rFonts w:ascii="仿宋_GB2312" w:hAnsi="仿宋_GB2312" w:cs="仿宋_GB2312" w:eastAsia="仿宋_GB2312"/>
        </w:rPr>
        <w:t>联系电话：18829232807</w:t>
      </w:r>
    </w:p>
    <w:p>
      <w:pPr>
        <w:pStyle w:val="null3"/>
      </w:pPr>
      <w:r>
        <w:rPr>
          <w:rFonts w:ascii="仿宋_GB2312" w:hAnsi="仿宋_GB2312" w:cs="仿宋_GB2312" w:eastAsia="仿宋_GB2312"/>
        </w:rPr>
        <w:t>地址：西安市雁塔区科技四路与鱼化一路交汇处（春风心语·春风苑东门）17号商业楼三楼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西安市创新港中学（创新港西安交通大学附属中学）为西安市教育局直属完全公办中学。学校位于西咸新区沣西新城西部创新港南阳环东路，学校占地150.4亩，总建筑面积14.18万平方米，绿化面积3.5万平方米。设置初中部48个教学班，高中部24个教学班，学生总规模3200人。 本次招标内容：主要负责校区内的绿化养护。</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250,000.00</w:t>
      </w:r>
    </w:p>
    <w:p>
      <w:pPr>
        <w:pStyle w:val="null3"/>
      </w:pPr>
      <w:r>
        <w:rPr>
          <w:rFonts w:ascii="仿宋_GB2312" w:hAnsi="仿宋_GB2312" w:cs="仿宋_GB2312" w:eastAsia="仿宋_GB2312"/>
        </w:rPr>
        <w:t>采购包最高限价（元）: 250,000.00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绿化服务一批</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250,000.00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标的名称：绿化服务一批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outlineLvl w:val="1"/>
            </w:pPr>
            <w:r>
              <w:rPr>
                <w:rFonts w:ascii="仿宋_GB2312" w:hAnsi="仿宋_GB2312" w:cs="仿宋_GB2312" w:eastAsia="仿宋_GB2312"/>
                <w:sz w:val="20"/>
                <w:b/>
              </w:rPr>
              <w:t>一、项目概况</w:t>
            </w:r>
          </w:p>
          <w:p>
            <w:pPr>
              <w:pStyle w:val="null3"/>
            </w:pPr>
            <w:r>
              <w:rPr>
                <w:rFonts w:ascii="仿宋_GB2312" w:hAnsi="仿宋_GB2312" w:cs="仿宋_GB2312" w:eastAsia="仿宋_GB2312"/>
                <w:sz w:val="20"/>
              </w:rPr>
              <w:t>西安市创新港中学（创新港西安交通大学附属中学）为西安市教育局直属完全公办中学。学校位于西咸新区沣西新城西部创新港南阳环东路，学校占地</w:t>
            </w:r>
            <w:r>
              <w:rPr>
                <w:rFonts w:ascii="仿宋_GB2312" w:hAnsi="仿宋_GB2312" w:cs="仿宋_GB2312" w:eastAsia="仿宋_GB2312"/>
                <w:sz w:val="20"/>
              </w:rPr>
              <w:t>150.4亩，总建筑面积14.18万平方米，绿化面积3.5万平方米。设置初中部48个教学班，高中部24个教学班，学生总规模3200人。</w:t>
            </w:r>
          </w:p>
          <w:p>
            <w:pPr>
              <w:pStyle w:val="null3"/>
            </w:pPr>
            <w:r>
              <w:rPr>
                <w:rFonts w:ascii="仿宋_GB2312" w:hAnsi="仿宋_GB2312" w:cs="仿宋_GB2312" w:eastAsia="仿宋_GB2312"/>
                <w:sz w:val="20"/>
              </w:rPr>
              <w:t>本次招标内容：主要负责校区内的绿化养护。</w:t>
            </w:r>
          </w:p>
          <w:p>
            <w:pPr>
              <w:pStyle w:val="null3"/>
              <w:jc w:val="both"/>
              <w:outlineLvl w:val="1"/>
            </w:pPr>
            <w:r>
              <w:rPr>
                <w:rFonts w:ascii="仿宋_GB2312" w:hAnsi="仿宋_GB2312" w:cs="仿宋_GB2312" w:eastAsia="仿宋_GB2312"/>
                <w:sz w:val="20"/>
                <w:b/>
              </w:rPr>
              <w:t>二、服务内容</w:t>
            </w:r>
          </w:p>
          <w:p>
            <w:pPr>
              <w:pStyle w:val="null3"/>
            </w:pPr>
            <w:r>
              <w:rPr>
                <w:rFonts w:ascii="仿宋_GB2312" w:hAnsi="仿宋_GB2312" w:cs="仿宋_GB2312" w:eastAsia="仿宋_GB2312"/>
                <w:sz w:val="20"/>
              </w:rPr>
              <w:t>（一）绿化养护工作内容</w:t>
            </w:r>
          </w:p>
          <w:p>
            <w:pPr>
              <w:pStyle w:val="null3"/>
            </w:pPr>
            <w:r>
              <w:rPr>
                <w:rFonts w:ascii="仿宋_GB2312" w:hAnsi="仿宋_GB2312" w:cs="仿宋_GB2312" w:eastAsia="仿宋_GB2312"/>
                <w:sz w:val="20"/>
              </w:rPr>
              <w:t>1．参照西安等地的园林绿化管理标准和有关规范，结合本项目实际情况，制定和实施《绿化管养规范》，使日常的养护工作如除草、松土、培土、淋水、施肥修剪、整形、防病、除虫、补种、移植、防寒、防大风、卫生、安全维护等具体内容和效果有一个指导性的衡量标准或衡量规范，让绿化工人更能专业化、规范化和量化地进行绿化维护。</w:t>
            </w:r>
          </w:p>
          <w:p>
            <w:pPr>
              <w:pStyle w:val="null3"/>
            </w:pPr>
            <w:r>
              <w:rPr>
                <w:rFonts w:ascii="仿宋_GB2312" w:hAnsi="仿宋_GB2312" w:cs="仿宋_GB2312" w:eastAsia="仿宋_GB2312"/>
                <w:sz w:val="20"/>
              </w:rPr>
              <w:t>2．维护和完善好绿化供水设施，确保浇灌系统的正常运行。</w:t>
            </w:r>
          </w:p>
          <w:p>
            <w:pPr>
              <w:pStyle w:val="null3"/>
            </w:pPr>
            <w:r>
              <w:rPr>
                <w:rFonts w:ascii="仿宋_GB2312" w:hAnsi="仿宋_GB2312" w:cs="仿宋_GB2312" w:eastAsia="仿宋_GB2312"/>
                <w:sz w:val="20"/>
              </w:rPr>
              <w:t>3．绿篱及草坪应及时常剪常新，保持清晰的轮廓，部分绿篱增加立面上的层次和对比，要求高度一致，无断层缺失，整齐划一，棱角分明，生长丰满，创造较好的有艺术性的植物群落景观。</w:t>
            </w:r>
          </w:p>
          <w:p>
            <w:pPr>
              <w:pStyle w:val="null3"/>
            </w:pPr>
            <w:r>
              <w:rPr>
                <w:rFonts w:ascii="仿宋_GB2312" w:hAnsi="仿宋_GB2312" w:cs="仿宋_GB2312" w:eastAsia="仿宋_GB2312"/>
                <w:sz w:val="20"/>
              </w:rPr>
              <w:t>4．加强病虫害的防治和肥水管理，确保植物花繁叶茂，健康正常，生机盎然。</w:t>
            </w:r>
          </w:p>
          <w:p>
            <w:pPr>
              <w:pStyle w:val="null3"/>
            </w:pPr>
            <w:r>
              <w:rPr>
                <w:rFonts w:ascii="仿宋_GB2312" w:hAnsi="仿宋_GB2312" w:cs="仿宋_GB2312" w:eastAsia="仿宋_GB2312"/>
                <w:sz w:val="20"/>
              </w:rPr>
              <w:t>5．做好防大风、防严寒等防护措施，及时处理突发事件。在寒冬到来之前，对所有乔木树干使用约1：10的石灰水刷白。</w:t>
            </w:r>
          </w:p>
          <w:p>
            <w:pPr>
              <w:pStyle w:val="null3"/>
              <w:jc w:val="left"/>
            </w:pPr>
            <w:r>
              <w:rPr>
                <w:rFonts w:ascii="仿宋_GB2312" w:hAnsi="仿宋_GB2312" w:cs="仿宋_GB2312" w:eastAsia="仿宋_GB2312"/>
                <w:sz w:val="20"/>
              </w:rPr>
              <w:t>6、夏季高温季节和冬季低温季节，须对乔木采取树干缠裹保湿防晒材料、合理遮阳等防护措施，避免强光直射导致树皮开裂、脱落，确保树木长势完好。</w:t>
            </w:r>
          </w:p>
          <w:p>
            <w:pPr>
              <w:pStyle w:val="null3"/>
            </w:pPr>
            <w:r>
              <w:rPr>
                <w:rFonts w:ascii="仿宋_GB2312" w:hAnsi="仿宋_GB2312" w:cs="仿宋_GB2312" w:eastAsia="仿宋_GB2312"/>
                <w:sz w:val="20"/>
              </w:rPr>
              <w:t>7</w:t>
            </w:r>
            <w:r>
              <w:rPr>
                <w:rFonts w:ascii="仿宋_GB2312" w:hAnsi="仿宋_GB2312" w:cs="仿宋_GB2312" w:eastAsia="仿宋_GB2312"/>
                <w:sz w:val="20"/>
              </w:rPr>
              <w:t>．提高绿化工的综合素质，建设一支相对稳定、专业性强、反应快速的养护队伍。</w:t>
            </w:r>
          </w:p>
          <w:p>
            <w:pPr>
              <w:pStyle w:val="null3"/>
            </w:pPr>
            <w:r>
              <w:rPr>
                <w:rFonts w:ascii="仿宋_GB2312" w:hAnsi="仿宋_GB2312" w:cs="仿宋_GB2312" w:eastAsia="仿宋_GB2312"/>
                <w:sz w:val="20"/>
              </w:rPr>
              <w:t>（二）维修、维保工作内容</w:t>
            </w:r>
          </w:p>
          <w:p>
            <w:pPr>
              <w:pStyle w:val="null3"/>
            </w:pPr>
            <w:r>
              <w:rPr>
                <w:rFonts w:ascii="仿宋_GB2312" w:hAnsi="仿宋_GB2312" w:cs="仿宋_GB2312" w:eastAsia="仿宋_GB2312"/>
                <w:sz w:val="20"/>
              </w:rPr>
              <w:t>1．协作其它部门做好安全防范工作。</w:t>
            </w:r>
          </w:p>
          <w:p>
            <w:pPr>
              <w:pStyle w:val="null3"/>
            </w:pPr>
            <w:r>
              <w:rPr>
                <w:rFonts w:ascii="仿宋_GB2312" w:hAnsi="仿宋_GB2312" w:cs="仿宋_GB2312" w:eastAsia="仿宋_GB2312"/>
                <w:sz w:val="20"/>
              </w:rPr>
              <w:t>2．园林景观水系统维修。本项目校园灌溉系统的后期日常维护、故障维修及相关配件更换工作，由中标绿化服务单位全权负责。</w:t>
            </w:r>
          </w:p>
          <w:p>
            <w:pPr>
              <w:pStyle w:val="null3"/>
            </w:pPr>
            <w:r>
              <w:rPr>
                <w:rFonts w:ascii="仿宋_GB2312" w:hAnsi="仿宋_GB2312" w:cs="仿宋_GB2312" w:eastAsia="仿宋_GB2312"/>
                <w:sz w:val="20"/>
              </w:rPr>
              <w:t>3．设施设备巡检原则：责任到人、加强巡检，防患于未然，降低设施设备维修率，延长使用寿命。</w:t>
            </w:r>
          </w:p>
          <w:p>
            <w:pPr>
              <w:pStyle w:val="null3"/>
            </w:pPr>
            <w:r>
              <w:rPr>
                <w:rFonts w:ascii="仿宋_GB2312" w:hAnsi="仿宋_GB2312" w:cs="仿宋_GB2312" w:eastAsia="仿宋_GB2312"/>
                <w:sz w:val="20"/>
              </w:rPr>
              <w:t>4．绿化设施设备应急抢修服务保障。</w:t>
            </w:r>
          </w:p>
          <w:p>
            <w:pPr>
              <w:pStyle w:val="null3"/>
              <w:jc w:val="both"/>
              <w:outlineLvl w:val="1"/>
            </w:pPr>
            <w:r>
              <w:rPr>
                <w:rFonts w:ascii="仿宋_GB2312" w:hAnsi="仿宋_GB2312" w:cs="仿宋_GB2312" w:eastAsia="仿宋_GB2312"/>
                <w:sz w:val="20"/>
                <w:b/>
              </w:rPr>
              <w:t>三、服务要求</w:t>
            </w:r>
          </w:p>
          <w:p>
            <w:pPr>
              <w:pStyle w:val="null3"/>
              <w:jc w:val="both"/>
            </w:pPr>
            <w:r>
              <w:rPr>
                <w:rFonts w:ascii="仿宋_GB2312" w:hAnsi="仿宋_GB2312" w:cs="仿宋_GB2312" w:eastAsia="仿宋_GB2312"/>
                <w:sz w:val="20"/>
              </w:rPr>
              <w:t>（一）总体要求</w:t>
            </w:r>
          </w:p>
          <w:p>
            <w:pPr>
              <w:pStyle w:val="null3"/>
            </w:pPr>
            <w:r>
              <w:rPr>
                <w:rFonts w:ascii="仿宋_GB2312" w:hAnsi="仿宋_GB2312" w:cs="仿宋_GB2312" w:eastAsia="仿宋_GB2312"/>
                <w:sz w:val="20"/>
              </w:rPr>
              <w:t>1．管理制度齐全完善、标准、上墙公示；</w:t>
            </w:r>
          </w:p>
          <w:p>
            <w:pPr>
              <w:pStyle w:val="null3"/>
            </w:pPr>
            <w:r>
              <w:rPr>
                <w:rFonts w:ascii="仿宋_GB2312" w:hAnsi="仿宋_GB2312" w:cs="仿宋_GB2312" w:eastAsia="仿宋_GB2312"/>
                <w:sz w:val="20"/>
              </w:rPr>
              <w:t>2．绿化管理及服务人员统一服装、挂牌上岗；</w:t>
            </w:r>
          </w:p>
          <w:p>
            <w:pPr>
              <w:pStyle w:val="null3"/>
            </w:pPr>
            <w:r>
              <w:rPr>
                <w:rFonts w:ascii="仿宋_GB2312" w:hAnsi="仿宋_GB2312" w:cs="仿宋_GB2312" w:eastAsia="仿宋_GB2312"/>
                <w:sz w:val="20"/>
              </w:rPr>
              <w:t>3．公示绿化管理人员24小时值班电话，确保电话随时接听，采购人问题随时处理；</w:t>
            </w:r>
          </w:p>
          <w:p>
            <w:pPr>
              <w:pStyle w:val="null3"/>
            </w:pPr>
            <w:r>
              <w:rPr>
                <w:rFonts w:ascii="仿宋_GB2312" w:hAnsi="仿宋_GB2312" w:cs="仿宋_GB2312" w:eastAsia="仿宋_GB2312"/>
                <w:sz w:val="20"/>
              </w:rPr>
              <w:t>4．服务人员专业性：</w:t>
            </w:r>
          </w:p>
          <w:p>
            <w:pPr>
              <w:pStyle w:val="null3"/>
            </w:pPr>
            <w:r>
              <w:rPr>
                <w:rFonts w:ascii="仿宋_GB2312" w:hAnsi="仿宋_GB2312" w:cs="仿宋_GB2312" w:eastAsia="仿宋_GB2312"/>
                <w:sz w:val="20"/>
              </w:rPr>
              <w:t>（</w:t>
            </w:r>
            <w:r>
              <w:rPr>
                <w:rFonts w:ascii="仿宋_GB2312" w:hAnsi="仿宋_GB2312" w:cs="仿宋_GB2312" w:eastAsia="仿宋_GB2312"/>
                <w:sz w:val="20"/>
              </w:rPr>
              <w:t>1）确保服务主动、热情、周到、文明用语；</w:t>
            </w:r>
          </w:p>
          <w:p>
            <w:pPr>
              <w:pStyle w:val="null3"/>
            </w:pPr>
            <w:r>
              <w:rPr>
                <w:rFonts w:ascii="仿宋_GB2312" w:hAnsi="仿宋_GB2312" w:cs="仿宋_GB2312" w:eastAsia="仿宋_GB2312"/>
                <w:sz w:val="20"/>
              </w:rPr>
              <w:t>（</w:t>
            </w:r>
            <w:r>
              <w:rPr>
                <w:rFonts w:ascii="仿宋_GB2312" w:hAnsi="仿宋_GB2312" w:cs="仿宋_GB2312" w:eastAsia="仿宋_GB2312"/>
                <w:sz w:val="20"/>
              </w:rPr>
              <w:t>2）所有人员需经过培训合格后方可上岗；</w:t>
            </w:r>
          </w:p>
          <w:p>
            <w:pPr>
              <w:pStyle w:val="null3"/>
            </w:pPr>
            <w:r>
              <w:rPr>
                <w:rFonts w:ascii="仿宋_GB2312" w:hAnsi="仿宋_GB2312" w:cs="仿宋_GB2312" w:eastAsia="仿宋_GB2312"/>
                <w:sz w:val="20"/>
              </w:rPr>
              <w:t>（</w:t>
            </w:r>
            <w:r>
              <w:rPr>
                <w:rFonts w:ascii="仿宋_GB2312" w:hAnsi="仿宋_GB2312" w:cs="仿宋_GB2312" w:eastAsia="仿宋_GB2312"/>
                <w:sz w:val="20"/>
              </w:rPr>
              <w:t>3）按照服务方案及采购人要求，进行人员配置，保证上岗人数；</w:t>
            </w:r>
          </w:p>
          <w:p>
            <w:pPr>
              <w:pStyle w:val="null3"/>
            </w:pPr>
            <w:r>
              <w:rPr>
                <w:rFonts w:ascii="仿宋_GB2312" w:hAnsi="仿宋_GB2312" w:cs="仿宋_GB2312" w:eastAsia="仿宋_GB2312"/>
                <w:sz w:val="20"/>
              </w:rPr>
              <w:t>（</w:t>
            </w:r>
            <w:r>
              <w:rPr>
                <w:rFonts w:ascii="仿宋_GB2312" w:hAnsi="仿宋_GB2312" w:cs="仿宋_GB2312" w:eastAsia="仿宋_GB2312"/>
                <w:sz w:val="20"/>
              </w:rPr>
              <w:t>4）所有服务人员应提供有效期内的健康证。</w:t>
            </w:r>
          </w:p>
          <w:p>
            <w:pPr>
              <w:pStyle w:val="null3"/>
            </w:pPr>
            <w:r>
              <w:rPr>
                <w:rFonts w:ascii="仿宋_GB2312" w:hAnsi="仿宋_GB2312" w:cs="仿宋_GB2312" w:eastAsia="仿宋_GB2312"/>
                <w:sz w:val="20"/>
              </w:rPr>
              <w:t>（</w:t>
            </w:r>
            <w:r>
              <w:rPr>
                <w:rFonts w:ascii="仿宋_GB2312" w:hAnsi="仿宋_GB2312" w:cs="仿宋_GB2312" w:eastAsia="仿宋_GB2312"/>
                <w:sz w:val="20"/>
              </w:rPr>
              <w:t>5）服务人员（工人）在校园内应做到安全使用各类绿化器械、绿化车辆等设施设备，如果产生安全事故，由供应商全权负责，学校也会按制度进行处罚。</w:t>
            </w:r>
          </w:p>
          <w:p>
            <w:pPr>
              <w:pStyle w:val="null3"/>
            </w:pPr>
            <w:r>
              <w:rPr>
                <w:rFonts w:ascii="仿宋_GB2312" w:hAnsi="仿宋_GB2312" w:cs="仿宋_GB2312" w:eastAsia="仿宋_GB2312"/>
                <w:sz w:val="20"/>
              </w:rPr>
              <w:t>5．采用标准化作业，各项工作有计划、过程有检查、实施有记录、结果有考核；</w:t>
            </w:r>
          </w:p>
          <w:p>
            <w:pPr>
              <w:pStyle w:val="null3"/>
            </w:pPr>
            <w:r>
              <w:rPr>
                <w:rFonts w:ascii="仿宋_GB2312" w:hAnsi="仿宋_GB2312" w:cs="仿宋_GB2312" w:eastAsia="仿宋_GB2312"/>
                <w:sz w:val="20"/>
              </w:rPr>
              <w:t>6．物资配置：严格筛选服务商，做好服务商管理，配备品牌劳保用品，采购合同的维修配件等；所有工具设备合格，符合使用标准，需要校验的均在相关设备质监局进行校验；</w:t>
            </w:r>
          </w:p>
          <w:p>
            <w:pPr>
              <w:pStyle w:val="null3"/>
            </w:pPr>
            <w:r>
              <w:rPr>
                <w:rFonts w:ascii="仿宋_GB2312" w:hAnsi="仿宋_GB2312" w:cs="仿宋_GB2312" w:eastAsia="仿宋_GB2312"/>
                <w:sz w:val="20"/>
              </w:rPr>
              <w:t>7．定期与采购方沟通。</w:t>
            </w:r>
          </w:p>
          <w:p>
            <w:pPr>
              <w:pStyle w:val="null3"/>
              <w:jc w:val="both"/>
            </w:pPr>
            <w:r>
              <w:rPr>
                <w:rFonts w:ascii="仿宋_GB2312" w:hAnsi="仿宋_GB2312" w:cs="仿宋_GB2312" w:eastAsia="仿宋_GB2312"/>
                <w:sz w:val="20"/>
              </w:rPr>
              <w:t>（二）岗位要求</w:t>
            </w:r>
          </w:p>
          <w:tbl>
            <w:tblPr>
              <w:tblInd w:type="dxa" w:w="120"/>
              <w:tblBorders>
                <w:top w:val="none" w:color="000000" w:sz="4"/>
                <w:left w:val="none" w:color="000000" w:sz="4"/>
                <w:bottom w:val="none" w:color="000000" w:sz="4"/>
                <w:right w:val="none" w:color="000000" w:sz="4"/>
                <w:insideH w:val="none"/>
                <w:insideV w:val="none"/>
              </w:tblBorders>
            </w:tblPr>
            <w:tblGrid>
              <w:gridCol w:w="185"/>
              <w:gridCol w:w="388"/>
              <w:gridCol w:w="351"/>
              <w:gridCol w:w="1609"/>
            </w:tblGrid>
            <w:tr>
              <w:tc>
                <w:tcPr>
                  <w:tcW w:type="dxa" w:w="185"/>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388"/>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绿化人员</w:t>
                  </w:r>
                </w:p>
              </w:tc>
              <w:tc>
                <w:tcPr>
                  <w:tcW w:type="dxa" w:w="35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1人</w:t>
                  </w:r>
                </w:p>
              </w:tc>
              <w:tc>
                <w:tcPr>
                  <w:tcW w:type="dxa" w:w="16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绿化组长：</w:t>
                  </w:r>
                </w:p>
                <w:p>
                  <w:pPr>
                    <w:pStyle w:val="null3"/>
                    <w:jc w:val="both"/>
                  </w:pPr>
                  <w:r>
                    <w:rPr>
                      <w:rFonts w:ascii="仿宋_GB2312" w:hAnsi="仿宋_GB2312" w:cs="仿宋_GB2312" w:eastAsia="仿宋_GB2312"/>
                      <w:sz w:val="20"/>
                    </w:rPr>
                    <w:t>1．限男性，45周岁以下，大专及以上文化；</w:t>
                  </w:r>
                </w:p>
                <w:p>
                  <w:pPr>
                    <w:pStyle w:val="null3"/>
                    <w:jc w:val="both"/>
                  </w:pPr>
                  <w:r>
                    <w:rPr>
                      <w:rFonts w:ascii="仿宋_GB2312" w:hAnsi="仿宋_GB2312" w:cs="仿宋_GB2312" w:eastAsia="仿宋_GB2312"/>
                      <w:sz w:val="20"/>
                    </w:rPr>
                    <w:t>2．熟悉绿化养护专业知识；</w:t>
                  </w:r>
                </w:p>
                <w:p>
                  <w:pPr>
                    <w:pStyle w:val="null3"/>
                    <w:jc w:val="both"/>
                  </w:pPr>
                  <w:r>
                    <w:rPr>
                      <w:rFonts w:ascii="仿宋_GB2312" w:hAnsi="仿宋_GB2312" w:cs="仿宋_GB2312" w:eastAsia="仿宋_GB2312"/>
                      <w:sz w:val="20"/>
                    </w:rPr>
                    <w:t>3．有较强的管理能力，责任心强，具有团队合作意识，具备培训能力。</w:t>
                  </w:r>
                </w:p>
              </w:tc>
            </w:tr>
            <w:tr>
              <w:tc>
                <w:tcPr>
                  <w:tcW w:type="dxa" w:w="185"/>
                  <w:vMerge/>
                  <w:tcBorders>
                    <w:top w:val="single" w:color="000000" w:sz="4"/>
                    <w:left w:val="single" w:color="000000" w:sz="4"/>
                    <w:bottom w:val="single" w:color="000000" w:sz="4"/>
                    <w:right w:val="single" w:color="000000" w:sz="4"/>
                  </w:tcBorders>
                </w:tcPr>
                <w:p/>
              </w:tc>
              <w:tc>
                <w:tcPr>
                  <w:tcW w:type="dxa" w:w="388"/>
                  <w:vMerge/>
                  <w:tcBorders>
                    <w:top w:val="single" w:color="000000" w:sz="4"/>
                    <w:left w:val="single" w:color="000000" w:sz="4"/>
                    <w:bottom w:val="single" w:color="000000" w:sz="4"/>
                    <w:right w:val="single" w:color="000000" w:sz="4"/>
                  </w:tcBorders>
                </w:tcPr>
                <w:p/>
              </w:tc>
              <w:tc>
                <w:tcPr>
                  <w:tcW w:type="dxa" w:w="35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3人</w:t>
                  </w:r>
                </w:p>
              </w:tc>
              <w:tc>
                <w:tcPr>
                  <w:tcW w:type="dxa" w:w="16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绿化员：</w:t>
                  </w:r>
                </w:p>
                <w:p>
                  <w:pPr>
                    <w:pStyle w:val="null3"/>
                    <w:jc w:val="both"/>
                  </w:pPr>
                  <w:r>
                    <w:rPr>
                      <w:rFonts w:ascii="仿宋_GB2312" w:hAnsi="仿宋_GB2312" w:cs="仿宋_GB2312" w:eastAsia="仿宋_GB2312"/>
                      <w:sz w:val="20"/>
                    </w:rPr>
                    <w:t>年龄</w:t>
                  </w:r>
                  <w:r>
                    <w:rPr>
                      <w:rFonts w:ascii="仿宋_GB2312" w:hAnsi="仿宋_GB2312" w:cs="仿宋_GB2312" w:eastAsia="仿宋_GB2312"/>
                      <w:sz w:val="20"/>
                    </w:rPr>
                    <w:t>18-55周岁，熟悉绿化工作，提供身份证明。</w:t>
                  </w:r>
                </w:p>
              </w:tc>
            </w:tr>
          </w:tbl>
          <w:p>
            <w:pPr>
              <w:pStyle w:val="null3"/>
              <w:ind w:firstLine="422"/>
            </w:pPr>
            <w:r>
              <w:rPr>
                <w:rFonts w:ascii="仿宋_GB2312" w:hAnsi="仿宋_GB2312" w:cs="仿宋_GB2312" w:eastAsia="仿宋_GB2312"/>
                <w:sz w:val="20"/>
              </w:rPr>
              <w:t>（三）管理要求</w:t>
            </w:r>
          </w:p>
          <w:p>
            <w:pPr>
              <w:pStyle w:val="null3"/>
              <w:ind w:firstLine="400"/>
            </w:pPr>
            <w:r>
              <w:rPr>
                <w:rFonts w:ascii="仿宋_GB2312" w:hAnsi="仿宋_GB2312" w:cs="仿宋_GB2312" w:eastAsia="仿宋_GB2312"/>
                <w:sz w:val="20"/>
              </w:rPr>
              <w:t>1．全年无重大投诉，一般投诉不得超过2起；</w:t>
            </w:r>
          </w:p>
          <w:p>
            <w:pPr>
              <w:pStyle w:val="null3"/>
              <w:ind w:firstLine="400"/>
            </w:pPr>
            <w:r>
              <w:rPr>
                <w:rFonts w:ascii="仿宋_GB2312" w:hAnsi="仿宋_GB2312" w:cs="仿宋_GB2312" w:eastAsia="仿宋_GB2312"/>
                <w:sz w:val="20"/>
              </w:rPr>
              <w:t>2．采购人满意度评分≥95分；</w:t>
            </w:r>
          </w:p>
          <w:p>
            <w:pPr>
              <w:pStyle w:val="null3"/>
              <w:ind w:firstLine="400"/>
            </w:pPr>
            <w:r>
              <w:rPr>
                <w:rFonts w:ascii="仿宋_GB2312" w:hAnsi="仿宋_GB2312" w:cs="仿宋_GB2312" w:eastAsia="仿宋_GB2312"/>
                <w:sz w:val="20"/>
              </w:rPr>
              <w:t>3．管理资料，归档保存绿化记录(有效、整理、填写、保存)达标率≥95%；</w:t>
            </w:r>
          </w:p>
          <w:p>
            <w:pPr>
              <w:pStyle w:val="null3"/>
              <w:ind w:firstLine="400"/>
            </w:pPr>
            <w:r>
              <w:rPr>
                <w:rFonts w:ascii="仿宋_GB2312" w:hAnsi="仿宋_GB2312" w:cs="仿宋_GB2312" w:eastAsia="仿宋_GB2312"/>
                <w:sz w:val="20"/>
              </w:rPr>
              <w:t>4．投诉处理及时有效处理率100%；</w:t>
            </w:r>
          </w:p>
          <w:p>
            <w:pPr>
              <w:pStyle w:val="null3"/>
              <w:ind w:firstLine="400"/>
            </w:pPr>
            <w:r>
              <w:rPr>
                <w:rFonts w:ascii="仿宋_GB2312" w:hAnsi="仿宋_GB2312" w:cs="仿宋_GB2312" w:eastAsia="仿宋_GB2312"/>
                <w:sz w:val="20"/>
              </w:rPr>
              <w:t>5．绿化库房管理帐、卡、物相符率/库管物品完好率100%；</w:t>
            </w:r>
          </w:p>
          <w:p>
            <w:pPr>
              <w:pStyle w:val="null3"/>
              <w:ind w:firstLine="400"/>
            </w:pPr>
            <w:r>
              <w:rPr>
                <w:rFonts w:ascii="仿宋_GB2312" w:hAnsi="仿宋_GB2312" w:cs="仿宋_GB2312" w:eastAsia="仿宋_GB2312"/>
                <w:sz w:val="20"/>
              </w:rPr>
              <w:t>6．服务区域日巡查覆盖率为100%；</w:t>
            </w:r>
          </w:p>
          <w:p>
            <w:pPr>
              <w:pStyle w:val="null3"/>
              <w:ind w:firstLine="400"/>
            </w:pPr>
            <w:r>
              <w:rPr>
                <w:rFonts w:ascii="仿宋_GB2312" w:hAnsi="仿宋_GB2312" w:cs="仿宋_GB2312" w:eastAsia="仿宋_GB2312"/>
                <w:sz w:val="20"/>
              </w:rPr>
              <w:t>7．环境、安全、设备、房屋管理按规定实施日检/周检/月检/季检覆盖率100%。</w:t>
            </w:r>
          </w:p>
          <w:p>
            <w:pPr>
              <w:pStyle w:val="null3"/>
              <w:jc w:val="both"/>
            </w:pPr>
            <w:r>
              <w:rPr>
                <w:rFonts w:ascii="仿宋_GB2312" w:hAnsi="仿宋_GB2312" w:cs="仿宋_GB2312" w:eastAsia="仿宋_GB2312"/>
                <w:sz w:val="20"/>
              </w:rPr>
              <w:t>四、商务要求</w:t>
            </w:r>
          </w:p>
          <w:p>
            <w:pPr>
              <w:pStyle w:val="null3"/>
              <w:ind w:firstLine="400"/>
            </w:pPr>
            <w:r>
              <w:rPr>
                <w:rFonts w:ascii="仿宋_GB2312" w:hAnsi="仿宋_GB2312" w:cs="仿宋_GB2312" w:eastAsia="仿宋_GB2312"/>
                <w:sz w:val="20"/>
              </w:rPr>
              <w:t>1．服务期：一年。</w:t>
            </w:r>
          </w:p>
          <w:p>
            <w:pPr>
              <w:pStyle w:val="null3"/>
              <w:ind w:firstLine="400"/>
            </w:pPr>
            <w:r>
              <w:rPr>
                <w:rFonts w:ascii="仿宋_GB2312" w:hAnsi="仿宋_GB2312" w:cs="仿宋_GB2312" w:eastAsia="仿宋_GB2312"/>
                <w:sz w:val="20"/>
              </w:rPr>
              <w:t>2．本项目服务人员工资不得低于西安市最低工资标准。要求供应商按时足额发放人员工资，不允许拖欠</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3．合同期内，中标服务商违反劳动法或其他相关法律法规造成恶劣影响，或未按时足额发放</w:t>
            </w:r>
            <w:r>
              <w:rPr>
                <w:rFonts w:ascii="仿宋_GB2312" w:hAnsi="仿宋_GB2312" w:cs="仿宋_GB2312" w:eastAsia="仿宋_GB2312"/>
                <w:sz w:val="20"/>
              </w:rPr>
              <w:t>绿化人</w:t>
            </w:r>
            <w:r>
              <w:rPr>
                <w:rFonts w:ascii="仿宋_GB2312" w:hAnsi="仿宋_GB2312" w:cs="仿宋_GB2312" w:eastAsia="仿宋_GB2312"/>
                <w:sz w:val="20"/>
              </w:rPr>
              <w:t>员工资影响恶劣的，采购人有权终止合同，经济损失和法律责任由中标服务商承担。</w:t>
            </w:r>
          </w:p>
          <w:p>
            <w:pPr>
              <w:pStyle w:val="null3"/>
              <w:ind w:firstLine="400"/>
            </w:pPr>
            <w:r>
              <w:rPr>
                <w:rFonts w:ascii="仿宋_GB2312" w:hAnsi="仿宋_GB2312" w:cs="仿宋_GB2312" w:eastAsia="仿宋_GB2312"/>
                <w:sz w:val="20"/>
              </w:rPr>
              <w:t>4．质量管理和监督措施</w:t>
            </w:r>
          </w:p>
          <w:p>
            <w:pPr>
              <w:pStyle w:val="null3"/>
              <w:ind w:firstLine="500"/>
              <w:jc w:val="both"/>
            </w:pPr>
            <w:r>
              <w:rPr>
                <w:rFonts w:ascii="仿宋_GB2312" w:hAnsi="仿宋_GB2312" w:cs="仿宋_GB2312" w:eastAsia="仿宋_GB2312"/>
                <w:sz w:val="20"/>
              </w:rPr>
              <w:t>（</w:t>
            </w:r>
            <w:r>
              <w:rPr>
                <w:rFonts w:ascii="仿宋_GB2312" w:hAnsi="仿宋_GB2312" w:cs="仿宋_GB2312" w:eastAsia="仿宋_GB2312"/>
                <w:sz w:val="20"/>
              </w:rPr>
              <w:t>1）中标服务商须接受采购人的各类检查考核，采购人有权根据有关规定对质量考核标准及奖惩办法作相应的修改。</w:t>
            </w:r>
          </w:p>
          <w:p>
            <w:pPr>
              <w:pStyle w:val="null3"/>
              <w:ind w:firstLine="500"/>
              <w:jc w:val="both"/>
            </w:pPr>
            <w:r>
              <w:rPr>
                <w:rFonts w:ascii="仿宋_GB2312" w:hAnsi="仿宋_GB2312" w:cs="仿宋_GB2312" w:eastAsia="仿宋_GB2312"/>
                <w:sz w:val="20"/>
              </w:rPr>
              <w:t>（</w:t>
            </w:r>
            <w:r>
              <w:rPr>
                <w:rFonts w:ascii="仿宋_GB2312" w:hAnsi="仿宋_GB2312" w:cs="仿宋_GB2312" w:eastAsia="仿宋_GB2312"/>
                <w:sz w:val="20"/>
              </w:rPr>
              <w:t>2）合同期内，因中标服务商管理不善且负主要责任，造成重大损失和影响，采购人有权终止合同，经济损失和法律责任由中标服务商承担。</w:t>
            </w:r>
          </w:p>
          <w:p>
            <w:pPr>
              <w:pStyle w:val="null3"/>
              <w:ind w:firstLine="500"/>
              <w:jc w:val="both"/>
            </w:pPr>
            <w:r>
              <w:rPr>
                <w:rFonts w:ascii="仿宋_GB2312" w:hAnsi="仿宋_GB2312" w:cs="仿宋_GB2312" w:eastAsia="仿宋_GB2312"/>
                <w:sz w:val="20"/>
              </w:rPr>
              <w:t>（</w:t>
            </w:r>
            <w:r>
              <w:rPr>
                <w:rFonts w:ascii="仿宋_GB2312" w:hAnsi="仿宋_GB2312" w:cs="仿宋_GB2312" w:eastAsia="仿宋_GB2312"/>
                <w:sz w:val="20"/>
              </w:rPr>
              <w:t>3）每三个月学校将对服务商进行一次全校师生满意度调查，根据师生满意度调查（占比60%）和学校各处室满意度调查（占比40%），执行相应考核标准。</w:t>
            </w:r>
          </w:p>
          <w:p>
            <w:pPr>
              <w:pStyle w:val="null3"/>
              <w:ind w:firstLine="500"/>
              <w:jc w:val="both"/>
            </w:pPr>
            <w:r>
              <w:rPr>
                <w:rFonts w:ascii="仿宋_GB2312" w:hAnsi="仿宋_GB2312" w:cs="仿宋_GB2312" w:eastAsia="仿宋_GB2312"/>
                <w:sz w:val="20"/>
              </w:rPr>
              <w:t>满意度好评率在</w:t>
            </w:r>
            <w:r>
              <w:rPr>
                <w:rFonts w:ascii="仿宋_GB2312" w:hAnsi="仿宋_GB2312" w:cs="仿宋_GB2312" w:eastAsia="仿宋_GB2312"/>
                <w:sz w:val="20"/>
              </w:rPr>
              <w:t>90%以上时，全款支付当期服务费。</w:t>
            </w:r>
          </w:p>
          <w:p>
            <w:pPr>
              <w:pStyle w:val="null3"/>
              <w:ind w:firstLine="500"/>
              <w:jc w:val="both"/>
            </w:pPr>
            <w:r>
              <w:rPr>
                <w:rFonts w:ascii="仿宋_GB2312" w:hAnsi="仿宋_GB2312" w:cs="仿宋_GB2312" w:eastAsia="仿宋_GB2312"/>
                <w:sz w:val="20"/>
              </w:rPr>
              <w:t>满意度好评率在</w:t>
            </w:r>
            <w:r>
              <w:rPr>
                <w:rFonts w:ascii="仿宋_GB2312" w:hAnsi="仿宋_GB2312" w:cs="仿宋_GB2312" w:eastAsia="仿宋_GB2312"/>
                <w:sz w:val="20"/>
              </w:rPr>
              <w:t>80%--90%时，提出警告一次并责令服务商限期整改，全款支付当期服务费。</w:t>
            </w:r>
          </w:p>
          <w:p>
            <w:pPr>
              <w:pStyle w:val="null3"/>
              <w:ind w:firstLine="500"/>
              <w:jc w:val="both"/>
            </w:pPr>
            <w:r>
              <w:rPr>
                <w:rFonts w:ascii="仿宋_GB2312" w:hAnsi="仿宋_GB2312" w:cs="仿宋_GB2312" w:eastAsia="仿宋_GB2312"/>
                <w:sz w:val="20"/>
              </w:rPr>
              <w:t>满意度好评率在</w:t>
            </w:r>
            <w:r>
              <w:rPr>
                <w:rFonts w:ascii="仿宋_GB2312" w:hAnsi="仿宋_GB2312" w:cs="仿宋_GB2312" w:eastAsia="仿宋_GB2312"/>
                <w:sz w:val="20"/>
              </w:rPr>
              <w:t>70%--80%时，提出警告一次并责令服务商限期整改，并扣除当期服务费5%后，支付当期剩余服务费。</w:t>
            </w:r>
          </w:p>
          <w:p>
            <w:pPr>
              <w:pStyle w:val="null3"/>
              <w:ind w:firstLine="500"/>
              <w:jc w:val="both"/>
            </w:pPr>
            <w:r>
              <w:rPr>
                <w:rFonts w:ascii="仿宋_GB2312" w:hAnsi="仿宋_GB2312" w:cs="仿宋_GB2312" w:eastAsia="仿宋_GB2312"/>
                <w:sz w:val="20"/>
              </w:rPr>
              <w:t>满意度好评率在</w:t>
            </w:r>
            <w:r>
              <w:rPr>
                <w:rFonts w:ascii="仿宋_GB2312" w:hAnsi="仿宋_GB2312" w:cs="仿宋_GB2312" w:eastAsia="仿宋_GB2312"/>
                <w:sz w:val="20"/>
              </w:rPr>
              <w:t>70%以下时，提出警告一次并责令服务商限期整改，并扣除当期服务费10%后，支付当期剩余服务费。如未整改到位，学校有权解除服务合同，并追究其相应责任。</w:t>
            </w:r>
          </w:p>
          <w:p>
            <w:pPr>
              <w:pStyle w:val="null3"/>
              <w:ind w:firstLine="500"/>
              <w:jc w:val="both"/>
            </w:pPr>
            <w:r>
              <w:rPr>
                <w:rFonts w:ascii="仿宋_GB2312" w:hAnsi="仿宋_GB2312" w:cs="仿宋_GB2312" w:eastAsia="仿宋_GB2312"/>
                <w:sz w:val="20"/>
              </w:rPr>
              <w:t xml:space="preserve"> </w:t>
            </w:r>
            <w:r>
              <w:rPr>
                <w:rFonts w:ascii="仿宋_GB2312" w:hAnsi="仿宋_GB2312" w:cs="仿宋_GB2312" w:eastAsia="仿宋_GB2312"/>
                <w:sz w:val="20"/>
              </w:rPr>
              <w:t>服务期内服务商如被警告两次，将不得参加学校后期相关项目投标。</w:t>
            </w:r>
          </w:p>
          <w:p>
            <w:pPr>
              <w:pStyle w:val="null3"/>
              <w:ind w:firstLine="400"/>
            </w:pPr>
            <w:r>
              <w:rPr>
                <w:rFonts w:ascii="仿宋_GB2312" w:hAnsi="仿宋_GB2312" w:cs="仿宋_GB2312" w:eastAsia="仿宋_GB2312"/>
                <w:sz w:val="20"/>
              </w:rPr>
              <w:t>5．物资要求</w:t>
            </w:r>
          </w:p>
          <w:p>
            <w:pPr>
              <w:pStyle w:val="null3"/>
              <w:ind w:firstLine="400"/>
              <w:jc w:val="both"/>
            </w:pPr>
            <w:r>
              <w:rPr>
                <w:rFonts w:ascii="仿宋_GB2312" w:hAnsi="仿宋_GB2312" w:cs="仿宋_GB2312" w:eastAsia="仿宋_GB2312"/>
                <w:sz w:val="20"/>
              </w:rPr>
              <w:t>（</w:t>
            </w:r>
            <w:r>
              <w:rPr>
                <w:rFonts w:ascii="仿宋_GB2312" w:hAnsi="仿宋_GB2312" w:cs="仿宋_GB2312" w:eastAsia="仿宋_GB2312"/>
                <w:sz w:val="20"/>
              </w:rPr>
              <w:t>1）本项目所有的设备、耗材、全部由中标服务商提供。</w:t>
            </w:r>
          </w:p>
          <w:p>
            <w:pPr>
              <w:pStyle w:val="null3"/>
            </w:pPr>
            <w:r>
              <w:rPr>
                <w:rFonts w:ascii="仿宋_GB2312" w:hAnsi="仿宋_GB2312" w:cs="仿宋_GB2312" w:eastAsia="仿宋_GB2312"/>
                <w:sz w:val="20"/>
              </w:rPr>
              <w:t>（</w:t>
            </w:r>
            <w:r>
              <w:rPr>
                <w:rFonts w:ascii="仿宋_GB2312" w:hAnsi="仿宋_GB2312" w:cs="仿宋_GB2312" w:eastAsia="仿宋_GB2312"/>
                <w:sz w:val="20"/>
              </w:rPr>
              <w:t>2）设备必须提供采购发票，正规厂家生产，不得租赁或拆借，不得存在安全风险、不得影响每日正常工作。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1、绿化组长（1人）：1．限男性，45周岁以下，大专及以上文化；2．熟悉绿化养护专业知识；3．有较强的管理能力，责任心强，具有团队合作意识，具备培训能力。 2、绿化员（3人）：年龄18-55周岁，熟悉绿化工作，提供身份证明。</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西安市创新港中学（创新港西安交通大学附属中学）校内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按采购文件、响应文件及合同相关条款</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签订合同后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6个月以后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服务到期后，根据合同相应考核条款支付</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20.00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（一）具有独立承担民事责任的能力。 提供注册登记凭证（营业执照、其他组织经营的合法凭证，自然人的提供身份证明文件）。 （二）具有良好的商业信誉和健全的财务会计制度。 提供经审计的2024年度财务报告（包括四表一注，即资产负债表、利润表、现金流量表、所有者权益变动表及其附注），且无反对意见；事业法人提供部门决算报告； /或在磋商日期前六个月内其基本开户银行出具的资信证明（附《基本存款账户信息》或《银行开户许可证》复印件）； /或财政部门认可的政府采购专业担保机构出具的磋商担保函； /或表明具有良好的商业信誉和健全的财务会计制度的诚信声明； 以上四种形式的资料提供任何一种即可。 （三）具有履行合同所必需的设备和专业技术能力。 提供声明文件原件。 （四）具有依法缴纳税收的良好记录。 提供缴费所属日期为磋商截止时间前6个月内任一月份（磋商文件响应文件提交截止时间当月不计入）的增值税（或所得税）缴费凭据或税务机关出具的完税证明/在法规范围内不需提供的应出具书面说明和证明文件； /或具有依法缴纳税收的诚信声明； 以上二种形式的资料提供任何一种即可。 （五）具有依法缴纳社会保障资金的良好记录。 提供缴费所属日期为磋商截止时间前6个月内任一月份（磋商文件响应文件提交截止时间当月不计入）的缴费凭据或社保机关出具的缴费证明/在法规范围内不需提供的应出具书面说明和证明文件； /或具有依法缴纳社会保障资金的缴纳记录的诚信声明； 以上二种形式的资料提供任何一种即可。 （六）参加政府采购活动前3年内在经营活动中没有重大违法记录的书面声明（原件）。 （七）法人代表授权书（原件）及被授权人投标截止时间前6个月内任一月份的社保缴纳证明。 注:1、以上资格证明文件供应商必须完全提供，一项不合格即按照无效响应处理。 2、除注明原件外，均为复印件并须加盖供应商公章。</w:t>
            </w:r>
          </w:p>
        </w:tc>
        <w:tc>
          <w:tcPr>
            <w:tcW w:type="dxa" w:w="1661"/>
          </w:tcPr>
          <w:p>
            <w:pPr>
              <w:pStyle w:val="null3"/>
            </w:pPr>
            <w:r>
              <w:rPr>
                <w:rFonts w:ascii="仿宋_GB2312" w:hAnsi="仿宋_GB2312" w:cs="仿宋_GB2312" w:eastAsia="仿宋_GB2312"/>
              </w:rPr>
              <w:t>供应商应提交的相关资格证明材料 法定代表人授权委托书.docx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w:t>
            </w:r>
          </w:p>
        </w:tc>
        <w:tc>
          <w:tcPr>
            <w:tcW w:type="dxa" w:w="1661"/>
          </w:tcPr>
          <w:p>
            <w:pPr>
              <w:pStyle w:val="null3"/>
            </w:pPr>
            <w:r>
              <w:rPr>
                <w:rFonts w:ascii="仿宋_GB2312" w:hAnsi="仿宋_GB2312" w:cs="仿宋_GB2312" w:eastAsia="仿宋_GB2312"/>
              </w:rPr>
              <w:t>响应文件封面 服务方案 标的清单 报价表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1.磋商报价是否超过采购预算； 2.磋商报价有效期是否符合磋商文件的要求； 3.响应文件内容是否符合国家法律法规，没有重大偏离； 4.对磋商文件中规定的要求是否做出了实质性响应。</w:t>
            </w:r>
          </w:p>
        </w:tc>
        <w:tc>
          <w:tcPr>
            <w:tcW w:type="dxa" w:w="1661"/>
          </w:tcPr>
          <w:p>
            <w:pPr>
              <w:pStyle w:val="null3"/>
            </w:pPr>
            <w:r>
              <w:rPr>
                <w:rFonts w:ascii="仿宋_GB2312" w:hAnsi="仿宋_GB2312" w:cs="仿宋_GB2312" w:eastAsia="仿宋_GB2312"/>
              </w:rPr>
              <w:t>响应文件封面 服务内容及服务邀请应答表 商务应答表 服务方案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绿化养护服务项目方案</w:t>
            </w:r>
          </w:p>
        </w:tc>
        <w:tc>
          <w:tcPr>
            <w:tcW w:type="dxa" w:w="2492"/>
          </w:tcPr>
          <w:p>
            <w:pPr>
              <w:pStyle w:val="null3"/>
            </w:pPr>
            <w:r>
              <w:rPr>
                <w:rFonts w:ascii="仿宋_GB2312" w:hAnsi="仿宋_GB2312" w:cs="仿宋_GB2312" w:eastAsia="仿宋_GB2312"/>
              </w:rPr>
              <w:t>供应商对绿化养护要求的整体响应情况，包括①有详细的维护养护制度②工作流程③分工操作规程等，④整体服务方案。以序号①、②、③、④为项数，内容无缺项、无漏项且无缺陷的得12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相关维修、维保服务方案</w:t>
            </w:r>
          </w:p>
        </w:tc>
        <w:tc>
          <w:tcPr>
            <w:tcW w:type="dxa" w:w="2492"/>
          </w:tcPr>
          <w:p>
            <w:pPr>
              <w:pStyle w:val="null3"/>
            </w:pPr>
            <w:r>
              <w:rPr>
                <w:rFonts w:ascii="仿宋_GB2312" w:hAnsi="仿宋_GB2312" w:cs="仿宋_GB2312" w:eastAsia="仿宋_GB2312"/>
              </w:rPr>
              <w:t>供应商对相关维修、维保要求的整体响应情况，提供①维修服务方案、②维保服务方案③具体工作实施计划，以序号①、②、③为项数，内容无缺项、无漏项且无缺陷的得9分，其中每有一项内容存在缺项或漏项的扣3分，每项内容中每有一处存在缺陷的扣1分，该项分值扣完为止，未提供不得分。 三、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安全保障方案</w:t>
            </w:r>
          </w:p>
        </w:tc>
        <w:tc>
          <w:tcPr>
            <w:tcW w:type="dxa" w:w="2492"/>
          </w:tcPr>
          <w:p>
            <w:pPr>
              <w:pStyle w:val="null3"/>
            </w:pPr>
            <w:r>
              <w:rPr>
                <w:rFonts w:ascii="仿宋_GB2312" w:hAnsi="仿宋_GB2312" w:cs="仿宋_GB2312" w:eastAsia="仿宋_GB2312"/>
              </w:rPr>
              <w:t>供应商应①制定针对服务期间所有设备及物品的安全措施、②制定针对服务期间所有人员的安全措施、③发生安全事故导致采购人损失的赔偿补救方案。 以序号①、②、③为项数，内容无缺项、无漏项且无缺陷的得9分，其中每有一项内容存在缺项或漏项的扣3分，每项内容中每有一处存在缺陷的扣1分，该项分值扣完为止，未提供不得分。 赋分说明：“缺陷”是指套用其他项目方案内容；或引用科学原理错误；或项目名称错误；或实施地点错误；或引用的法律法规、标准（方法）或其他规范性文件错误；或前后逻辑错误；或存在与本项目特点、采购需求无关内容的任一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提供①维护存在的难点②维护重点的分析 ③提出具体解决方案，以序号①、②、③为项数，内容无缺项、无漏项且无缺陷的得9分，其中每有一项内容存在缺项或漏项的扣3分，每项内容中每有一处存在缺陷的扣1分，该项分值扣完为止，未提供不得分。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管理考核</w:t>
            </w:r>
          </w:p>
        </w:tc>
        <w:tc>
          <w:tcPr>
            <w:tcW w:type="dxa" w:w="2492"/>
          </w:tcPr>
          <w:p>
            <w:pPr>
              <w:pStyle w:val="null3"/>
            </w:pPr>
            <w:r>
              <w:rPr>
                <w:rFonts w:ascii="仿宋_GB2312" w:hAnsi="仿宋_GB2312" w:cs="仿宋_GB2312" w:eastAsia="仿宋_GB2312"/>
              </w:rPr>
              <w:t>①日常管理考核制度完整、②考核检查中发现的问题及时有效处理的保证方案、 以序号①、②为项数，内容无缺项、无漏项且无缺陷的得6分，其中每有一项内容存在缺项或漏项的扣3分，每项内容中每有一处存在缺陷的扣1分，该项分值扣完为止，未提供不得分。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依据所提供的针对本项目投入的设备配置情况，①配置绿化手动基础工具（包含修剪工具、除草工具、清洁工具等）②机动电动工具及养护机械③日常耗材及防护用品。 ，配置满足实际使用需求，数量、绿化设备先进，各类设备齐全，技术支持材料详实，得9分；投入本项目的设备配置不齐全，技术支持材料少，得6分； 投入本项目的设备配置数量不足，不能满足项目实际需求或未提供技术支持材料的，得3分。未提供相关内容的不计分；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团队人员配置</w:t>
            </w:r>
          </w:p>
        </w:tc>
        <w:tc>
          <w:tcPr>
            <w:tcW w:type="dxa" w:w="2492"/>
          </w:tcPr>
          <w:p>
            <w:pPr>
              <w:pStyle w:val="null3"/>
            </w:pPr>
            <w:r>
              <w:rPr>
                <w:rFonts w:ascii="仿宋_GB2312" w:hAnsi="仿宋_GB2312" w:cs="仿宋_GB2312" w:eastAsia="仿宋_GB2312"/>
              </w:rPr>
              <w:t>依据“磋商内容及技术规范”中相关人员要求配置，①绿化组长（1人）；绿化员（3人）年龄18-55周岁，熟悉绿化工作，提供身份证明文件。 ②绿化人员除“评审原则①”要求外增加人数（年龄18-55周岁），提供相应的身份证明文件及养老保险缴纳证明。 ③针对本项目设置组织机构、工作职责划分及岗位安排等内容的完整性：应详细说明并配有相应的管理制度及奖惩办法。 对应“评审原则①”，不满足的，否决该供应商的响应。 对应“评审原则②”，每增加1人，得3分，共计9分。缺少1人身份证（或年龄不符合要求），扣1分，扣完为止。 对应“评审原则③”，完全满足得6分，每缺漏1项扣1分，最低得1分；内容过于简单、或针对性不强等，一次性扣1分；无对应内容得0分。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对本项目合理化建议</w:t>
            </w:r>
          </w:p>
        </w:tc>
        <w:tc>
          <w:tcPr>
            <w:tcW w:type="dxa" w:w="2492"/>
          </w:tcPr>
          <w:p>
            <w:pPr>
              <w:pStyle w:val="null3"/>
            </w:pPr>
            <w:r>
              <w:rPr>
                <w:rFonts w:ascii="仿宋_GB2312" w:hAnsi="仿宋_GB2312" w:cs="仿宋_GB2312" w:eastAsia="仿宋_GB2312"/>
              </w:rPr>
              <w:t>①针对本项目的特点，提出适合采购人的、具有实质意义的建议； ②合理化建议具有较强的针对性，以序号①、②为项数，内容无缺项、无漏项且无缺陷的得6分，其中每有一项内容存在缺项或漏项的扣3分，每项内容中每有一处存在缺陷的扣1分，该项分值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其他增值服务</w:t>
            </w:r>
          </w:p>
        </w:tc>
        <w:tc>
          <w:tcPr>
            <w:tcW w:type="dxa" w:w="2492"/>
          </w:tcPr>
          <w:p>
            <w:pPr>
              <w:pStyle w:val="null3"/>
            </w:pPr>
            <w:r>
              <w:rPr>
                <w:rFonts w:ascii="仿宋_GB2312" w:hAnsi="仿宋_GB2312" w:cs="仿宋_GB2312" w:eastAsia="仿宋_GB2312"/>
              </w:rPr>
              <w:t>针对本项目提供增值服务，每提供一项得0.5分，满分5分。不提供不得分。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供应商类似业绩</w:t>
            </w:r>
          </w:p>
        </w:tc>
        <w:tc>
          <w:tcPr>
            <w:tcW w:type="dxa" w:w="2492"/>
          </w:tcPr>
          <w:p>
            <w:pPr>
              <w:pStyle w:val="null3"/>
            </w:pPr>
            <w:r>
              <w:rPr>
                <w:rFonts w:ascii="仿宋_GB2312" w:hAnsi="仿宋_GB2312" w:cs="仿宋_GB2312" w:eastAsia="仿宋_GB2312"/>
              </w:rPr>
              <w:t>供应商近三年（2023年1月1日起至今，以合同签订日期为准），具有绿化养护服务合同额为20万及以上的业绩，每有1项得2分，最高得10分。 提供合同复印件，并提供合同期内开具的任意发票，加盖供应商公章。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以最终报价进行评审。 1.最低评审价为评审基准价，得10分。 2.按（评审基准价/评审价）×10的公式计算价格得分。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详见附件：法定代表人授权委托书.docx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