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FEAF1">
      <w:pPr>
        <w:keepNext w:val="0"/>
        <w:keepLines w:val="0"/>
        <w:widowControl w:val="0"/>
        <w:suppressLineNumbers w:val="0"/>
        <w:adjustRightInd w:val="0"/>
        <w:snapToGrid w:val="0"/>
        <w:spacing w:before="120" w:beforeLines="50" w:beforeAutospacing="0" w:after="120" w:afterLines="50" w:afterAutospacing="0"/>
        <w:ind w:left="0" w:right="0"/>
        <w:jc w:val="center"/>
        <w:rPr>
          <w:rFonts w:hint="eastAsia" w:ascii="仿宋" w:hAnsi="仿宋" w:eastAsia="仿宋" w:cs="仿宋"/>
          <w:b/>
          <w:bCs w:val="0"/>
          <w:color w:val="auto"/>
          <w:spacing w:val="-12"/>
          <w:sz w:val="32"/>
          <w:szCs w:val="32"/>
          <w:highlight w:val="none"/>
          <w:lang w:val="en-US"/>
        </w:rPr>
      </w:pPr>
      <w:r>
        <w:rPr>
          <w:rFonts w:hint="eastAsia" w:ascii="仿宋" w:hAnsi="仿宋" w:eastAsia="仿宋" w:cs="仿宋"/>
          <w:b/>
          <w:bCs w:val="0"/>
          <w:color w:val="auto"/>
          <w:spacing w:val="-12"/>
          <w:kern w:val="2"/>
          <w:sz w:val="32"/>
          <w:szCs w:val="32"/>
          <w:highlight w:val="none"/>
          <w:u w:val="single"/>
          <w:lang w:val="en-US" w:eastAsia="zh-CN" w:bidi="ar"/>
        </w:rPr>
        <w:t>绿化养护</w:t>
      </w:r>
      <w:r>
        <w:rPr>
          <w:rFonts w:hint="eastAsia" w:ascii="仿宋" w:hAnsi="仿宋" w:eastAsia="仿宋" w:cs="仿宋"/>
          <w:b/>
          <w:bCs w:val="0"/>
          <w:color w:val="auto"/>
          <w:spacing w:val="-12"/>
          <w:kern w:val="2"/>
          <w:sz w:val="32"/>
          <w:szCs w:val="32"/>
          <w:highlight w:val="none"/>
          <w:lang w:val="en-US" w:eastAsia="zh-CN" w:bidi="ar"/>
        </w:rPr>
        <w:t>服务合同</w:t>
      </w:r>
    </w:p>
    <w:p w14:paraId="3D6990EC">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甲方：</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 xml:space="preserve">              </w:t>
      </w:r>
    </w:p>
    <w:p w14:paraId="7D3C0262">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乙方：</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 xml:space="preserve">               </w:t>
      </w:r>
    </w:p>
    <w:p w14:paraId="09E713F6">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为明确甲乙双方的权利义务，依照《中华人民共和国民法典》及其他有关法律、法规的规定，遵循平等、自愿、公平和诚实信用的原则，双方就</w:t>
      </w:r>
      <w:r>
        <w:rPr>
          <w:rFonts w:hint="eastAsia" w:ascii="仿宋" w:hAnsi="仿宋" w:eastAsia="仿宋" w:cs="仿宋"/>
          <w:color w:val="auto"/>
          <w:kern w:val="2"/>
          <w:sz w:val="21"/>
          <w:szCs w:val="21"/>
          <w:highlight w:val="none"/>
          <w:u w:val="single"/>
          <w:lang w:val="en-US" w:eastAsia="zh-CN" w:bidi="ar"/>
        </w:rPr>
        <w:t>绿化养护服务</w:t>
      </w:r>
      <w:r>
        <w:rPr>
          <w:rFonts w:hint="eastAsia" w:ascii="仿宋" w:hAnsi="仿宋" w:eastAsia="仿宋" w:cs="仿宋"/>
          <w:color w:val="auto"/>
          <w:kern w:val="2"/>
          <w:sz w:val="21"/>
          <w:szCs w:val="21"/>
          <w:highlight w:val="none"/>
          <w:lang w:val="en-US" w:eastAsia="zh-CN" w:bidi="ar"/>
        </w:rPr>
        <w:t>相关事宜协商一致，订立本合同。</w:t>
      </w:r>
    </w:p>
    <w:p w14:paraId="41CBC988">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一、绿化养护项目概况</w:t>
      </w:r>
    </w:p>
    <w:p w14:paraId="46B9E2F8">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1、项目名称：</w:t>
      </w:r>
      <w:r>
        <w:rPr>
          <w:rFonts w:hint="eastAsia" w:ascii="仿宋" w:hAnsi="仿宋" w:eastAsia="仿宋" w:cs="仿宋"/>
          <w:bCs/>
          <w:color w:val="auto"/>
          <w:kern w:val="2"/>
          <w:sz w:val="21"/>
          <w:szCs w:val="21"/>
          <w:highlight w:val="none"/>
          <w:u w:val="single"/>
          <w:lang w:val="en-US" w:eastAsia="zh-CN" w:bidi="ar"/>
        </w:rPr>
        <w:t>绿化养护服务</w:t>
      </w:r>
    </w:p>
    <w:p w14:paraId="5F39A137">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2、绿化管护地点及范围：</w:t>
      </w:r>
      <w:r>
        <w:rPr>
          <w:rFonts w:hint="eastAsia" w:ascii="仿宋" w:hAnsi="仿宋" w:eastAsia="仿宋" w:cs="仿宋"/>
          <w:color w:val="auto"/>
          <w:kern w:val="2"/>
          <w:sz w:val="21"/>
          <w:szCs w:val="21"/>
          <w:highlight w:val="none"/>
          <w:u w:val="single"/>
          <w:lang w:val="en-US" w:eastAsia="zh-CN" w:bidi="ar"/>
        </w:rPr>
        <w:t>西安市创新港中学（创新港西安交通大学附属中学）校内</w:t>
      </w:r>
    </w:p>
    <w:p w14:paraId="398DBB80">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3、绿化养护内容：</w:t>
      </w:r>
      <w:r>
        <w:rPr>
          <w:rFonts w:hint="eastAsia" w:ascii="仿宋" w:hAnsi="仿宋" w:eastAsia="仿宋" w:cs="仿宋"/>
          <w:color w:val="auto"/>
          <w:kern w:val="2"/>
          <w:sz w:val="21"/>
          <w:szCs w:val="21"/>
          <w:highlight w:val="none"/>
          <w:u w:val="single"/>
          <w:lang w:val="en-US" w:eastAsia="zh-CN" w:bidi="ar"/>
        </w:rPr>
        <w:t>学校位于西咸新区沣西新城西部创新港南阳环东路，学校占地150.4亩，总建筑面积14.18万平方米，绿化面积3.5万平方米。设置初中部48个教学班，高中部24个教学班，学生总规模3200人。</w:t>
      </w:r>
    </w:p>
    <w:p w14:paraId="1B98D0D4">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u w:val="single"/>
          <w:lang w:val="en-US"/>
        </w:rPr>
      </w:pPr>
      <w:r>
        <w:rPr>
          <w:rFonts w:hint="eastAsia" w:ascii="仿宋" w:hAnsi="仿宋" w:eastAsia="仿宋" w:cs="仿宋"/>
          <w:color w:val="auto"/>
          <w:kern w:val="2"/>
          <w:sz w:val="21"/>
          <w:szCs w:val="21"/>
          <w:highlight w:val="none"/>
          <w:lang w:val="en-US" w:eastAsia="zh-CN" w:bidi="ar"/>
        </w:rPr>
        <w:t>4、绿化养护工程量：</w:t>
      </w:r>
      <w:r>
        <w:rPr>
          <w:rFonts w:hint="eastAsia" w:ascii="仿宋" w:hAnsi="仿宋" w:eastAsia="仿宋" w:cs="仿宋"/>
          <w:color w:val="auto"/>
          <w:kern w:val="2"/>
          <w:sz w:val="21"/>
          <w:szCs w:val="21"/>
          <w:highlight w:val="none"/>
          <w:u w:val="single"/>
          <w:lang w:val="en-US" w:eastAsia="zh-CN" w:bidi="ar"/>
        </w:rPr>
        <w:t xml:space="preserve">                              </w:t>
      </w:r>
    </w:p>
    <w:p w14:paraId="2BDF37FB">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5、绿化管护交接时间：     年         月        日。</w:t>
      </w:r>
    </w:p>
    <w:p w14:paraId="1CE4F470">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6、管护期限自</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年</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月</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日起至</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年</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 xml:space="preserve">月 </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日止。</w:t>
      </w:r>
    </w:p>
    <w:p w14:paraId="14E60006">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二、下列文件作为本合同不可分割部分</w:t>
      </w:r>
    </w:p>
    <w:p w14:paraId="39B207C2">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1.成交通知书</w:t>
      </w:r>
    </w:p>
    <w:p w14:paraId="6A9A00DC">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2.甲方磋商文件</w:t>
      </w:r>
    </w:p>
    <w:p w14:paraId="1A627198">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3.乙方成交的响应文件</w:t>
      </w:r>
    </w:p>
    <w:p w14:paraId="4288E5CC">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4.乙方在项目采购过程中所作的其他承诺、声明、书面澄清等。</w:t>
      </w:r>
    </w:p>
    <w:p w14:paraId="2150511D">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三、养护内容及养护标准</w:t>
      </w:r>
    </w:p>
    <w:p w14:paraId="1E0D1833">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（一）养护内容</w:t>
      </w:r>
    </w:p>
    <w:p w14:paraId="49419E2A">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 xml:space="preserve">1、修剪：根据各类植物的生长特点、立地环境、景观要求，按照操作规程适时进行。 </w:t>
      </w:r>
    </w:p>
    <w:p w14:paraId="0B9DC7C3">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 xml:space="preserve">2、施肥：根据各类植物的生长特点及植物对肥料的需要，要求年施肥不得少于2次，新种植物视生长情况，适时适量进行施肥，以保持各类植物的生长旺盛达到一定景观效果。 </w:t>
      </w:r>
    </w:p>
    <w:p w14:paraId="3B756B2A">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 xml:space="preserve">3、除草：各类绿地、树穴、绿带要结合松土及时清理各类杂草。 </w:t>
      </w:r>
    </w:p>
    <w:p w14:paraId="04B7B4C8">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 xml:space="preserve">4、抹芽：主要用于乔木、大型灌木，对不定芽要及时清除，以保持树木骨架清晰，促使生长形态美观，营养集中。 </w:t>
      </w:r>
    </w:p>
    <w:p w14:paraId="01944249">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 xml:space="preserve">5、病虫害防治：病虫害防治是园林植物养护中较为重要的手段和内容，要根据各类植物的寄生对象及时做好预测预报，及时采取措施防治。 </w:t>
      </w:r>
    </w:p>
    <w:p w14:paraId="7B8BF1D7">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6、抗旱、抗涝：旱季及新种植物要及时进行灌溉，防止植物因脱水而造成枯死。汛期间要做好加固、排涝抢险工作，防止植物受损。</w:t>
      </w:r>
    </w:p>
    <w:p w14:paraId="40B773CA">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（二）养护标准</w:t>
      </w:r>
    </w:p>
    <w:p w14:paraId="56B177C7">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养护标准暂按《西安市城市</w:t>
      </w:r>
      <w:r>
        <w:rPr>
          <w:rFonts w:hint="eastAsia" w:ascii="仿宋" w:hAnsi="仿宋" w:eastAsia="仿宋" w:cs="仿宋"/>
          <w:color w:val="auto"/>
          <w:kern w:val="2"/>
          <w:sz w:val="21"/>
          <w:szCs w:val="21"/>
          <w:highlight w:val="none"/>
          <w:lang w:val="en-US" w:eastAsia="zh-CN" w:bidi="ar"/>
        </w:rPr>
        <w:fldChar w:fldCharType="begin"/>
      </w:r>
      <w:r>
        <w:rPr>
          <w:rFonts w:hint="eastAsia" w:ascii="仿宋" w:hAnsi="仿宋" w:eastAsia="仿宋" w:cs="仿宋"/>
          <w:color w:val="auto"/>
          <w:kern w:val="2"/>
          <w:sz w:val="21"/>
          <w:szCs w:val="21"/>
          <w:highlight w:val="none"/>
          <w:lang w:val="en-US" w:eastAsia="zh-CN" w:bidi="ar"/>
        </w:rPr>
        <w:instrText xml:space="preserve"> HYPERLINK "http://www.yuanlin.com/" \t "http://news.yuanlin.com/detail/200955/_blank" </w:instrText>
      </w:r>
      <w:r>
        <w:rPr>
          <w:rFonts w:hint="eastAsia" w:ascii="仿宋" w:hAnsi="仿宋" w:eastAsia="仿宋" w:cs="仿宋"/>
          <w:color w:val="auto"/>
          <w:kern w:val="2"/>
          <w:sz w:val="21"/>
          <w:szCs w:val="21"/>
          <w:highlight w:val="none"/>
          <w:lang w:val="en-US" w:eastAsia="zh-CN" w:bidi="ar"/>
        </w:rPr>
        <w:fldChar w:fldCharType="separate"/>
      </w:r>
      <w:r>
        <w:rPr>
          <w:rStyle w:val="4"/>
          <w:rFonts w:hint="eastAsia" w:ascii="仿宋" w:hAnsi="仿宋" w:eastAsia="仿宋" w:cs="仿宋"/>
          <w:color w:val="auto"/>
          <w:szCs w:val="21"/>
          <w:highlight w:val="none"/>
          <w:u w:val="none"/>
          <w:lang w:val="en-US"/>
        </w:rPr>
        <w:t>园林</w:t>
      </w:r>
      <w:r>
        <w:rPr>
          <w:rFonts w:hint="eastAsia" w:ascii="仿宋" w:hAnsi="仿宋" w:eastAsia="仿宋" w:cs="仿宋"/>
          <w:color w:val="auto"/>
          <w:kern w:val="2"/>
          <w:sz w:val="21"/>
          <w:szCs w:val="21"/>
          <w:highlight w:val="none"/>
          <w:lang w:val="en-US" w:eastAsia="zh-CN" w:bidi="ar"/>
        </w:rPr>
        <w:fldChar w:fldCharType="end"/>
      </w:r>
      <w:r>
        <w:rPr>
          <w:rFonts w:hint="eastAsia" w:ascii="仿宋" w:hAnsi="仿宋" w:eastAsia="仿宋" w:cs="仿宋"/>
          <w:color w:val="auto"/>
          <w:kern w:val="2"/>
          <w:sz w:val="21"/>
          <w:szCs w:val="21"/>
          <w:highlight w:val="none"/>
          <w:lang w:val="en-US" w:eastAsia="zh-CN" w:bidi="ar"/>
        </w:rPr>
        <w:t>绿化管理</w:t>
      </w:r>
      <w:r>
        <w:rPr>
          <w:rFonts w:hint="eastAsia" w:ascii="仿宋" w:hAnsi="仿宋" w:eastAsia="仿宋" w:cs="仿宋"/>
          <w:color w:val="auto"/>
          <w:kern w:val="2"/>
          <w:sz w:val="21"/>
          <w:szCs w:val="21"/>
          <w:highlight w:val="none"/>
          <w:lang w:val="en-US" w:eastAsia="zh-CN" w:bidi="ar"/>
        </w:rPr>
        <w:fldChar w:fldCharType="begin"/>
      </w:r>
      <w:r>
        <w:rPr>
          <w:rFonts w:hint="eastAsia" w:ascii="仿宋" w:hAnsi="仿宋" w:eastAsia="仿宋" w:cs="仿宋"/>
          <w:color w:val="auto"/>
          <w:kern w:val="2"/>
          <w:sz w:val="21"/>
          <w:szCs w:val="21"/>
          <w:highlight w:val="none"/>
          <w:lang w:val="en-US" w:eastAsia="zh-CN" w:bidi="ar"/>
        </w:rPr>
        <w:instrText xml:space="preserve"> HYPERLINK "http://www.yuanlin.com/B2B/Sell/C2/21/88.shtml" \t "http://news.yuanlin.com/detail/200955/_blank" </w:instrText>
      </w:r>
      <w:r>
        <w:rPr>
          <w:rFonts w:hint="eastAsia" w:ascii="仿宋" w:hAnsi="仿宋" w:eastAsia="仿宋" w:cs="仿宋"/>
          <w:color w:val="auto"/>
          <w:kern w:val="2"/>
          <w:sz w:val="21"/>
          <w:szCs w:val="21"/>
          <w:highlight w:val="none"/>
          <w:lang w:val="en-US" w:eastAsia="zh-CN" w:bidi="ar"/>
        </w:rPr>
        <w:fldChar w:fldCharType="separate"/>
      </w:r>
      <w:r>
        <w:rPr>
          <w:rStyle w:val="4"/>
          <w:rFonts w:hint="eastAsia" w:ascii="仿宋" w:hAnsi="仿宋" w:eastAsia="仿宋" w:cs="仿宋"/>
          <w:color w:val="auto"/>
          <w:szCs w:val="21"/>
          <w:highlight w:val="none"/>
          <w:u w:val="none"/>
          <w:lang w:val="en-US"/>
        </w:rPr>
        <w:t>养护</w:t>
      </w:r>
      <w:r>
        <w:rPr>
          <w:rFonts w:hint="eastAsia" w:ascii="仿宋" w:hAnsi="仿宋" w:eastAsia="仿宋" w:cs="仿宋"/>
          <w:color w:val="auto"/>
          <w:kern w:val="2"/>
          <w:sz w:val="21"/>
          <w:szCs w:val="21"/>
          <w:highlight w:val="none"/>
          <w:lang w:val="en-US" w:eastAsia="zh-CN" w:bidi="ar"/>
        </w:rPr>
        <w:fldChar w:fldCharType="end"/>
      </w:r>
      <w:r>
        <w:rPr>
          <w:rFonts w:hint="eastAsia" w:ascii="仿宋" w:hAnsi="仿宋" w:eastAsia="仿宋" w:cs="仿宋"/>
          <w:color w:val="auto"/>
          <w:kern w:val="2"/>
          <w:sz w:val="21"/>
          <w:szCs w:val="21"/>
          <w:highlight w:val="none"/>
          <w:lang w:val="en-US" w:eastAsia="zh-CN" w:bidi="ar"/>
        </w:rPr>
        <w:t xml:space="preserve">标准》规定施行，执行一级养护标准。如果在实施过程中有新的标准下发，自该标准公布的执行之日起按新标准执行。 </w:t>
      </w:r>
    </w:p>
    <w:p w14:paraId="47434409">
      <w:pPr>
        <w:keepNext w:val="0"/>
        <w:keepLines w:val="0"/>
        <w:widowControl w:val="0"/>
        <w:numPr>
          <w:ilvl w:val="0"/>
          <w:numId w:val="1"/>
        </w:numPr>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费用核算、支付方式及验收标准</w:t>
      </w:r>
    </w:p>
    <w:p w14:paraId="31C7A535">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（一）费用核算</w:t>
      </w:r>
    </w:p>
    <w:p w14:paraId="349627A5">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1、合同单价： 养护费用为</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元/平方米·年。</w:t>
      </w:r>
    </w:p>
    <w:p w14:paraId="374C6212">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2、合同总价：按照上述标准核算， 养护费合计人民币</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元/年（大写：</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），该养护费用为含税价，包括乙方应履行本合同项下约定的养护工作所发生的一切费用，在养护期内一次包死，不受市场变化影响。</w:t>
      </w:r>
    </w:p>
    <w:p w14:paraId="70C140F2">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3、当因甲方原因导致养护工程量发生变化时，养护费按照实际发生养护时间及养护面积，参照养护费用单价按比例进行计算。</w:t>
      </w:r>
    </w:p>
    <w:p w14:paraId="0F6F934F">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（二）支付方式</w:t>
      </w:r>
    </w:p>
    <w:p w14:paraId="6E9DE7D9">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1、合同签订后，                               。</w:t>
      </w:r>
      <w:bookmarkStart w:id="0" w:name="_GoBack"/>
      <w:bookmarkEnd w:id="0"/>
    </w:p>
    <w:p w14:paraId="0026459B">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2、乙方要求甲方支付费用前，应向甲方提供与待付款金额等额的增值税普通发票，否则甲方有权迟延付款且无需承担任何责任，同时不免除乙方所应履行的合同义务。</w:t>
      </w:r>
    </w:p>
    <w:p w14:paraId="59680911">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3、乙方同意甲方以银行转账的方式支付养护费用，乙方指定收款银行账户信息如下：</w:t>
      </w:r>
    </w:p>
    <w:p w14:paraId="5D71E090">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 xml:space="preserve">户  名： </w:t>
      </w:r>
      <w:r>
        <w:rPr>
          <w:rFonts w:hint="eastAsia" w:ascii="仿宋" w:hAnsi="仿宋" w:eastAsia="仿宋" w:cs="仿宋"/>
          <w:color w:val="auto"/>
          <w:kern w:val="2"/>
          <w:sz w:val="21"/>
          <w:szCs w:val="21"/>
          <w:highlight w:val="none"/>
          <w:u w:val="single"/>
          <w:lang w:val="en-US" w:eastAsia="zh-CN" w:bidi="ar"/>
        </w:rPr>
        <w:t xml:space="preserve">                         </w:t>
      </w:r>
    </w:p>
    <w:p w14:paraId="0897CE11">
      <w:pPr>
        <w:keepNext w:val="0"/>
        <w:keepLines w:val="0"/>
        <w:widowControl w:val="0"/>
        <w:suppressLineNumbers w:val="0"/>
        <w:tabs>
          <w:tab w:val="left" w:pos="6750"/>
        </w:tabs>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u w:val="single"/>
          <w:lang w:val="en-US"/>
        </w:rPr>
      </w:pPr>
      <w:r>
        <w:rPr>
          <w:rFonts w:hint="eastAsia" w:ascii="仿宋" w:hAnsi="仿宋" w:eastAsia="仿宋" w:cs="仿宋"/>
          <w:color w:val="auto"/>
          <w:kern w:val="2"/>
          <w:sz w:val="21"/>
          <w:szCs w:val="21"/>
          <w:highlight w:val="none"/>
          <w:lang w:val="en-US" w:eastAsia="zh-CN" w:bidi="ar"/>
        </w:rPr>
        <w:t xml:space="preserve">开户行； </w:t>
      </w:r>
      <w:r>
        <w:rPr>
          <w:rFonts w:hint="eastAsia" w:ascii="仿宋" w:hAnsi="仿宋" w:eastAsia="仿宋" w:cs="仿宋"/>
          <w:color w:val="auto"/>
          <w:kern w:val="2"/>
          <w:sz w:val="21"/>
          <w:szCs w:val="21"/>
          <w:highlight w:val="none"/>
          <w:u w:val="single"/>
          <w:lang w:val="en-US" w:eastAsia="zh-CN" w:bidi="ar"/>
        </w:rPr>
        <w:t xml:space="preserve">                         </w:t>
      </w:r>
    </w:p>
    <w:p w14:paraId="561C5E41">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u w:val="single"/>
          <w:lang w:val="en-US"/>
        </w:rPr>
      </w:pPr>
      <w:r>
        <w:rPr>
          <w:rFonts w:hint="eastAsia" w:ascii="仿宋" w:hAnsi="仿宋" w:eastAsia="仿宋" w:cs="仿宋"/>
          <w:color w:val="auto"/>
          <w:kern w:val="2"/>
          <w:sz w:val="21"/>
          <w:szCs w:val="21"/>
          <w:highlight w:val="none"/>
          <w:lang w:val="en-US" w:eastAsia="zh-CN" w:bidi="ar"/>
        </w:rPr>
        <w:t xml:space="preserve">账  号： </w:t>
      </w:r>
      <w:r>
        <w:rPr>
          <w:rFonts w:hint="eastAsia" w:ascii="仿宋" w:hAnsi="仿宋" w:eastAsia="仿宋" w:cs="仿宋"/>
          <w:color w:val="auto"/>
          <w:kern w:val="2"/>
          <w:sz w:val="21"/>
          <w:szCs w:val="21"/>
          <w:highlight w:val="none"/>
          <w:u w:val="single"/>
          <w:lang w:val="en-US" w:eastAsia="zh-CN" w:bidi="ar"/>
        </w:rPr>
        <w:t xml:space="preserve">                         </w:t>
      </w:r>
    </w:p>
    <w:p w14:paraId="74B7660C">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（三）验收标准</w:t>
      </w:r>
    </w:p>
    <w:p w14:paraId="50E0D986">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乙方养护工作应符合甲方所在地城市精细化管理有关要求。此外，苗木成活率应符合《城市绿化工程施工及验收规范》(CJJ/T82-99)，即：</w:t>
      </w:r>
    </w:p>
    <w:p w14:paraId="4B45A400">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1、乔灌木的成活率应达到95%以上，珍贵树种、孤植树应保证成活；</w:t>
      </w:r>
    </w:p>
    <w:p w14:paraId="62AA73FF">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2、花卉种植地应无杂草、无枯黄，各种花卉生长茂盛，种植成活率应达到95%以上；</w:t>
      </w:r>
    </w:p>
    <w:p w14:paraId="16969104">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3、草坪无杂草、无枯黄、无病虫害，覆盖率应达到95%以上；</w:t>
      </w:r>
    </w:p>
    <w:p w14:paraId="35EA8EA4">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4、绿地整洁，表面平整；</w:t>
      </w:r>
    </w:p>
    <w:p w14:paraId="251BBC98">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5、植物材料的整形修剪应符合设计要求。</w:t>
      </w:r>
    </w:p>
    <w:p w14:paraId="1609977E">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五、双方权利与义务</w:t>
      </w:r>
    </w:p>
    <w:p w14:paraId="30EE8445">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（一）甲方权利与义务</w:t>
      </w:r>
    </w:p>
    <w:p w14:paraId="36CD4113">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1、制定检查和考核标准，并按标准对乙方养护情况进行检查和监督。</w:t>
      </w:r>
    </w:p>
    <w:p w14:paraId="0AEC1BF3">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2、指导核实乙方的养护管理措施，监督检查养护质量，对发现的不合格项目下发整改通知单。</w:t>
      </w:r>
    </w:p>
    <w:p w14:paraId="60E564BE">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3、负责核定乙方的养护费用并按期支付。</w:t>
      </w:r>
    </w:p>
    <w:p w14:paraId="7D73771C">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（二）乙方权利与义务</w:t>
      </w:r>
    </w:p>
    <w:p w14:paraId="36790234">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乙方应自本合同签订之日起3日内将盖有乙方公章的全年、季度养护计划、养护方案上报甲方批准，并严格按照按照养护管理标准和甲方审批通过的养护计划实施养护，接受甲方的管理、监督、检查和考核，并根据甲方检查结果，在甲方要求的期限内进行整改。乙方无正当理由拒绝整改或逾期整改超过3日的，甲方可以另行委托他人予以整改，所发生的费用由乙方承担。</w:t>
      </w:r>
    </w:p>
    <w:p w14:paraId="4FB9BCCC">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2、合同期内，本合同养护项目工程量发生减少及毁损的，乙方应自发现之时起24小时内向甲方汇报，经甲方审核通过后3日内补齐或修复，并自行承担所需费用。</w:t>
      </w:r>
    </w:p>
    <w:p w14:paraId="1BADF9B4">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yellow"/>
          <w:lang w:val="en-US"/>
        </w:rPr>
      </w:pPr>
      <w:r>
        <w:rPr>
          <w:rFonts w:hint="eastAsia" w:ascii="仿宋" w:hAnsi="仿宋" w:eastAsia="仿宋" w:cs="仿宋"/>
          <w:color w:val="auto"/>
          <w:kern w:val="2"/>
          <w:sz w:val="21"/>
          <w:szCs w:val="21"/>
          <w:highlight w:val="none"/>
          <w:lang w:val="en-US" w:eastAsia="zh-CN" w:bidi="ar"/>
        </w:rPr>
        <w:t>3、绿化养护所有使用的园林机具、施用的肥料和喷施的农药全部由乙方提供。肥料、农药等所选材料必须符合国家相关标准，保证质量可靠，满足养护要求；乙方在从事喷洒农药、控制有害生物、修剪树木、修理设施、清理道路等工作时应自行采取相应的安全防护措施；乙方喷洒药物之前，须将喷洒时间、药物种类提前以书面方式报甲方批准，按甲方批准的时间和路线进行喷洒；乙方对土壤进行消毒或防治病虫害时，应使用符合环保要求的药剂，不得使用国家禁止使用的剧毒、高残留或可能造成其它公害的药剂。乙方在进行药物喷洒和土壤进行消毒或防治病虫害作业时，对人体有可能产生危害的应提前作出提醒，由甲方向全校师生做出提醒或警示。残留药剂和容器，乙方应按规定妥善收集和处理，乙方未按规定使用药剂，造成的责任由乙方自行承担。乙方就工人在校园内应做到安全使用各类绿化器械、绿化车辆等设施设备，如果产生安全事故，由供应商全权负责，学校也会按制度进行处罚。</w:t>
      </w:r>
    </w:p>
    <w:p w14:paraId="368F1F68">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4、乙方应按以下清单配置养护所必备的机械、材料、器具设备</w:t>
      </w:r>
    </w:p>
    <w:tbl>
      <w:tblPr>
        <w:tblStyle w:val="2"/>
        <w:tblpPr w:leftFromText="180" w:rightFromText="180" w:vertAnchor="text" w:horzAnchor="page" w:tblpXSpec="center" w:tblpY="269"/>
        <w:tblOverlap w:val="never"/>
        <w:tblW w:w="0" w:type="auto"/>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Layout w:type="fixed"/>
        <w:tblCellMar>
          <w:top w:w="0" w:type="dxa"/>
          <w:left w:w="108" w:type="dxa"/>
          <w:bottom w:w="0" w:type="dxa"/>
          <w:right w:w="108" w:type="dxa"/>
        </w:tblCellMar>
      </w:tblPr>
      <w:tblGrid>
        <w:gridCol w:w="1155"/>
        <w:gridCol w:w="3489"/>
        <w:gridCol w:w="1500"/>
        <w:gridCol w:w="1902"/>
      </w:tblGrid>
      <w:tr w14:paraId="497A7F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450" w:hRule="atLeast"/>
        </w:trPr>
        <w:tc>
          <w:tcPr>
            <w:tcW w:w="1155" w:type="dxa"/>
            <w:tcBorders>
              <w:top w:val="single" w:color="000000" w:sz="12" w:space="0"/>
              <w:left w:val="single" w:color="000000" w:sz="12" w:space="0"/>
              <w:bottom w:val="single" w:color="000000" w:sz="6" w:space="0"/>
              <w:right w:val="single" w:color="000000" w:sz="6" w:space="0"/>
            </w:tcBorders>
            <w:shd w:val="clear" w:color="auto" w:fill="auto"/>
            <w:vAlign w:val="center"/>
          </w:tcPr>
          <w:p w14:paraId="5197628C">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序号</w:t>
            </w:r>
          </w:p>
        </w:tc>
        <w:tc>
          <w:tcPr>
            <w:tcW w:w="3489" w:type="dxa"/>
            <w:tcBorders>
              <w:top w:val="single" w:color="000000" w:sz="12" w:space="0"/>
              <w:left w:val="single" w:color="000000" w:sz="6" w:space="0"/>
              <w:bottom w:val="single" w:color="000000" w:sz="6" w:space="0"/>
              <w:right w:val="single" w:color="000000" w:sz="6" w:space="0"/>
            </w:tcBorders>
            <w:shd w:val="clear" w:color="auto" w:fill="auto"/>
            <w:vAlign w:val="center"/>
          </w:tcPr>
          <w:p w14:paraId="1854C396">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设备名称</w:t>
            </w:r>
          </w:p>
        </w:tc>
        <w:tc>
          <w:tcPr>
            <w:tcW w:w="1500" w:type="dxa"/>
            <w:tcBorders>
              <w:top w:val="single" w:color="000000" w:sz="12" w:space="0"/>
              <w:left w:val="single" w:color="000000" w:sz="6" w:space="0"/>
              <w:bottom w:val="single" w:color="000000" w:sz="6" w:space="0"/>
              <w:right w:val="single" w:color="000000" w:sz="6" w:space="0"/>
            </w:tcBorders>
            <w:shd w:val="clear" w:color="auto" w:fill="auto"/>
            <w:vAlign w:val="center"/>
          </w:tcPr>
          <w:p w14:paraId="07B7991F">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数量</w:t>
            </w:r>
          </w:p>
        </w:tc>
        <w:tc>
          <w:tcPr>
            <w:tcW w:w="1902" w:type="dxa"/>
            <w:tcBorders>
              <w:top w:val="single" w:color="000000" w:sz="12" w:space="0"/>
              <w:left w:val="single" w:color="000000" w:sz="6" w:space="0"/>
              <w:bottom w:val="single" w:color="000000" w:sz="6" w:space="0"/>
              <w:right w:val="single" w:color="000000" w:sz="12" w:space="0"/>
            </w:tcBorders>
            <w:shd w:val="clear" w:color="auto" w:fill="auto"/>
            <w:vAlign w:val="center"/>
          </w:tcPr>
          <w:p w14:paraId="4E425BEA">
            <w:pPr>
              <w:keepNext w:val="0"/>
              <w:keepLines w:val="0"/>
              <w:widowControl w:val="0"/>
              <w:suppressLineNumbers w:val="0"/>
              <w:topLinePunct/>
              <w:adjustRightInd w:val="0"/>
              <w:snapToGrid w:val="0"/>
              <w:spacing w:before="0" w:beforeAutospacing="0" w:after="0" w:afterAutospacing="0" w:line="360" w:lineRule="auto"/>
              <w:ind w:left="222" w:right="-64"/>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备  注</w:t>
            </w:r>
          </w:p>
        </w:tc>
      </w:tr>
      <w:tr w14:paraId="2137E5B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450" w:hRule="atLeast"/>
        </w:trPr>
        <w:tc>
          <w:tcPr>
            <w:tcW w:w="1155" w:type="dxa"/>
            <w:tcBorders>
              <w:top w:val="single" w:color="000000" w:sz="6" w:space="0"/>
              <w:left w:val="single" w:color="000000" w:sz="12" w:space="0"/>
              <w:bottom w:val="single" w:color="000000" w:sz="6" w:space="0"/>
              <w:right w:val="single" w:color="000000" w:sz="6" w:space="0"/>
            </w:tcBorders>
            <w:shd w:val="clear" w:color="auto" w:fill="auto"/>
            <w:vAlign w:val="center"/>
          </w:tcPr>
          <w:p w14:paraId="25ACDE2B">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w:t>
            </w:r>
          </w:p>
        </w:tc>
        <w:tc>
          <w:tcPr>
            <w:tcW w:w="348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EB9223">
            <w:pPr>
              <w:keepNext w:val="0"/>
              <w:keepLines w:val="0"/>
              <w:widowControl w:val="0"/>
              <w:suppressLineNumbers w:val="0"/>
              <w:topLinePunct/>
              <w:adjustRightInd w:val="0"/>
              <w:snapToGrid w:val="0"/>
              <w:spacing w:before="0" w:beforeAutospacing="0" w:after="0" w:afterAutospacing="0" w:line="360" w:lineRule="auto"/>
              <w:ind w:left="222" w:right="-64"/>
              <w:jc w:val="both"/>
              <w:rPr>
                <w:rFonts w:hint="eastAsia" w:ascii="仿宋" w:hAnsi="仿宋" w:eastAsia="仿宋" w:cs="仿宋"/>
                <w:color w:val="auto"/>
                <w:szCs w:val="21"/>
                <w:highlight w:val="none"/>
                <w:lang w:val="en-US"/>
              </w:rPr>
            </w:pPr>
          </w:p>
        </w:tc>
        <w:tc>
          <w:tcPr>
            <w:tcW w:w="15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D78ED57">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p>
        </w:tc>
        <w:tc>
          <w:tcPr>
            <w:tcW w:w="1902" w:type="dxa"/>
            <w:tcBorders>
              <w:top w:val="single" w:color="000000" w:sz="6" w:space="0"/>
              <w:left w:val="single" w:color="000000" w:sz="6" w:space="0"/>
              <w:bottom w:val="single" w:color="000000" w:sz="6" w:space="0"/>
              <w:right w:val="single" w:color="000000" w:sz="12" w:space="0"/>
            </w:tcBorders>
            <w:shd w:val="clear" w:color="auto" w:fill="auto"/>
            <w:vAlign w:val="center"/>
          </w:tcPr>
          <w:p w14:paraId="662D78E0">
            <w:pPr>
              <w:keepNext w:val="0"/>
              <w:keepLines w:val="0"/>
              <w:widowControl w:val="0"/>
              <w:suppressLineNumbers w:val="0"/>
              <w:topLinePunct/>
              <w:adjustRightInd w:val="0"/>
              <w:snapToGrid w:val="0"/>
              <w:spacing w:before="0" w:beforeAutospacing="0" w:after="0" w:afterAutospacing="0" w:line="360" w:lineRule="auto"/>
              <w:ind w:left="222" w:right="-64"/>
              <w:jc w:val="left"/>
              <w:rPr>
                <w:rFonts w:hint="eastAsia" w:ascii="仿宋" w:hAnsi="仿宋" w:eastAsia="仿宋" w:cs="仿宋"/>
                <w:color w:val="auto"/>
                <w:szCs w:val="21"/>
                <w:highlight w:val="none"/>
                <w:lang w:val="en-US"/>
              </w:rPr>
            </w:pPr>
          </w:p>
        </w:tc>
      </w:tr>
      <w:tr w14:paraId="7B81835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450" w:hRule="atLeast"/>
        </w:trPr>
        <w:tc>
          <w:tcPr>
            <w:tcW w:w="1155" w:type="dxa"/>
            <w:tcBorders>
              <w:top w:val="single" w:color="000000" w:sz="6" w:space="0"/>
              <w:left w:val="single" w:color="000000" w:sz="12" w:space="0"/>
              <w:bottom w:val="single" w:color="000000" w:sz="6" w:space="0"/>
              <w:right w:val="single" w:color="000000" w:sz="6" w:space="0"/>
            </w:tcBorders>
            <w:shd w:val="clear" w:color="auto" w:fill="auto"/>
            <w:vAlign w:val="center"/>
          </w:tcPr>
          <w:p w14:paraId="457D08B4">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w:t>
            </w:r>
          </w:p>
        </w:tc>
        <w:tc>
          <w:tcPr>
            <w:tcW w:w="348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E9F18F5">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p>
        </w:tc>
        <w:tc>
          <w:tcPr>
            <w:tcW w:w="15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577942F">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p>
        </w:tc>
        <w:tc>
          <w:tcPr>
            <w:tcW w:w="1902" w:type="dxa"/>
            <w:tcBorders>
              <w:top w:val="single" w:color="000000" w:sz="6" w:space="0"/>
              <w:left w:val="single" w:color="000000" w:sz="6" w:space="0"/>
              <w:bottom w:val="single" w:color="000000" w:sz="6" w:space="0"/>
              <w:right w:val="single" w:color="000000" w:sz="12" w:space="0"/>
            </w:tcBorders>
            <w:shd w:val="clear" w:color="auto" w:fill="auto"/>
            <w:vAlign w:val="center"/>
          </w:tcPr>
          <w:p w14:paraId="59841FF9">
            <w:pPr>
              <w:keepNext w:val="0"/>
              <w:keepLines w:val="0"/>
              <w:widowControl w:val="0"/>
              <w:suppressLineNumbers w:val="0"/>
              <w:topLinePunct/>
              <w:adjustRightInd w:val="0"/>
              <w:snapToGrid w:val="0"/>
              <w:spacing w:before="0" w:beforeAutospacing="0" w:after="0" w:afterAutospacing="0" w:line="360" w:lineRule="auto"/>
              <w:ind w:left="222" w:right="-64"/>
              <w:jc w:val="left"/>
              <w:rPr>
                <w:rFonts w:hint="eastAsia" w:ascii="仿宋" w:hAnsi="仿宋" w:eastAsia="仿宋" w:cs="仿宋"/>
                <w:color w:val="auto"/>
                <w:szCs w:val="21"/>
                <w:highlight w:val="none"/>
                <w:lang w:val="en-US"/>
              </w:rPr>
            </w:pPr>
          </w:p>
        </w:tc>
      </w:tr>
      <w:tr w14:paraId="228DFB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402" w:hRule="atLeast"/>
        </w:trPr>
        <w:tc>
          <w:tcPr>
            <w:tcW w:w="1155" w:type="dxa"/>
            <w:tcBorders>
              <w:top w:val="single" w:color="000000" w:sz="6" w:space="0"/>
              <w:left w:val="single" w:color="000000" w:sz="12" w:space="0"/>
              <w:bottom w:val="single" w:color="000000" w:sz="6" w:space="0"/>
              <w:right w:val="single" w:color="000000" w:sz="6" w:space="0"/>
            </w:tcBorders>
            <w:shd w:val="clear" w:color="auto" w:fill="auto"/>
            <w:vAlign w:val="center"/>
          </w:tcPr>
          <w:p w14:paraId="427964BD">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w:t>
            </w:r>
          </w:p>
        </w:tc>
        <w:tc>
          <w:tcPr>
            <w:tcW w:w="348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694ADDF">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p>
        </w:tc>
        <w:tc>
          <w:tcPr>
            <w:tcW w:w="150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9C5DEB">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p>
        </w:tc>
        <w:tc>
          <w:tcPr>
            <w:tcW w:w="1902" w:type="dxa"/>
            <w:tcBorders>
              <w:top w:val="single" w:color="000000" w:sz="6" w:space="0"/>
              <w:left w:val="single" w:color="000000" w:sz="6" w:space="0"/>
              <w:bottom w:val="single" w:color="000000" w:sz="6" w:space="0"/>
              <w:right w:val="single" w:color="000000" w:sz="12" w:space="0"/>
            </w:tcBorders>
            <w:shd w:val="clear" w:color="auto" w:fill="auto"/>
            <w:vAlign w:val="center"/>
          </w:tcPr>
          <w:p w14:paraId="66D14EC1">
            <w:pPr>
              <w:keepNext w:val="0"/>
              <w:keepLines w:val="0"/>
              <w:widowControl w:val="0"/>
              <w:suppressLineNumbers w:val="0"/>
              <w:topLinePunct/>
              <w:adjustRightInd w:val="0"/>
              <w:snapToGrid w:val="0"/>
              <w:spacing w:before="0" w:beforeAutospacing="0" w:after="0" w:afterAutospacing="0" w:line="360" w:lineRule="auto"/>
              <w:ind w:left="222" w:right="-64"/>
              <w:jc w:val="left"/>
              <w:rPr>
                <w:rFonts w:hint="eastAsia" w:ascii="仿宋" w:hAnsi="仿宋" w:eastAsia="仿宋" w:cs="仿宋"/>
                <w:color w:val="auto"/>
                <w:szCs w:val="21"/>
                <w:highlight w:val="none"/>
                <w:lang w:val="en-US"/>
              </w:rPr>
            </w:pPr>
          </w:p>
        </w:tc>
      </w:tr>
      <w:tr w14:paraId="17B0486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450" w:hRule="atLeast"/>
        </w:trPr>
        <w:tc>
          <w:tcPr>
            <w:tcW w:w="1155" w:type="dxa"/>
            <w:tcBorders>
              <w:top w:val="single" w:color="000000" w:sz="6" w:space="0"/>
              <w:left w:val="single" w:color="000000" w:sz="12" w:space="0"/>
              <w:bottom w:val="single" w:color="000000" w:sz="12" w:space="0"/>
              <w:right w:val="single" w:color="000000" w:sz="6" w:space="0"/>
            </w:tcBorders>
            <w:shd w:val="clear" w:color="auto" w:fill="auto"/>
            <w:vAlign w:val="center"/>
          </w:tcPr>
          <w:p w14:paraId="1DBD72D7">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w:t>
            </w:r>
          </w:p>
        </w:tc>
        <w:tc>
          <w:tcPr>
            <w:tcW w:w="3489"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381B0510">
            <w:pPr>
              <w:keepNext w:val="0"/>
              <w:keepLines w:val="0"/>
              <w:widowControl w:val="0"/>
              <w:suppressLineNumbers w:val="0"/>
              <w:topLinePunct/>
              <w:adjustRightInd w:val="0"/>
              <w:snapToGrid w:val="0"/>
              <w:spacing w:before="0" w:beforeAutospacing="0" w:after="0" w:afterAutospacing="0" w:line="360" w:lineRule="auto"/>
              <w:ind w:left="222" w:right="-64"/>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w:t>
            </w:r>
          </w:p>
        </w:tc>
        <w:tc>
          <w:tcPr>
            <w:tcW w:w="1500"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6FBED5B2">
            <w:pPr>
              <w:keepNext w:val="0"/>
              <w:keepLines w:val="0"/>
              <w:widowControl w:val="0"/>
              <w:suppressLineNumbers w:val="0"/>
              <w:tabs>
                <w:tab w:val="left" w:pos="629"/>
              </w:tabs>
              <w:topLinePunct/>
              <w:adjustRightInd w:val="0"/>
              <w:snapToGrid w:val="0"/>
              <w:spacing w:before="0" w:beforeAutospacing="0" w:after="0" w:afterAutospacing="0" w:line="360" w:lineRule="auto"/>
              <w:ind w:left="222" w:right="-64"/>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w:t>
            </w:r>
          </w:p>
        </w:tc>
        <w:tc>
          <w:tcPr>
            <w:tcW w:w="1902" w:type="dxa"/>
            <w:tcBorders>
              <w:top w:val="single" w:color="000000" w:sz="6" w:space="0"/>
              <w:left w:val="single" w:color="000000" w:sz="6" w:space="0"/>
              <w:bottom w:val="single" w:color="000000" w:sz="12" w:space="0"/>
              <w:right w:val="single" w:color="000000" w:sz="12" w:space="0"/>
            </w:tcBorders>
            <w:shd w:val="clear" w:color="auto" w:fill="auto"/>
            <w:vAlign w:val="center"/>
          </w:tcPr>
          <w:p w14:paraId="2E1CC632">
            <w:pPr>
              <w:keepNext w:val="0"/>
              <w:keepLines w:val="0"/>
              <w:widowControl w:val="0"/>
              <w:suppressLineNumbers w:val="0"/>
              <w:topLinePunct/>
              <w:adjustRightInd w:val="0"/>
              <w:snapToGrid w:val="0"/>
              <w:spacing w:before="0" w:beforeAutospacing="0" w:after="0" w:afterAutospacing="0" w:line="360" w:lineRule="auto"/>
              <w:ind w:left="222" w:right="-64"/>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w:t>
            </w:r>
          </w:p>
        </w:tc>
      </w:tr>
    </w:tbl>
    <w:p w14:paraId="3A4A3D38">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 xml:space="preserve">5、养护设备应符合国家绿化有关规范和标准，达到合格。甲方发现乙方提供或使用不符合约定的机械、材料、器具设备时，乙方应当按照甲方的要求进行整改，并自行承担因此产生的费用。 </w:t>
      </w:r>
    </w:p>
    <w:p w14:paraId="32CFF9CA">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6、乙方应保证按以下《人员配备表》安排派遣全职员工，并加强管理，合理调配人力、物力、财力，确保养护质量达标。</w:t>
      </w:r>
    </w:p>
    <w:tbl>
      <w:tblPr>
        <w:tblStyle w:val="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Layout w:type="fixed"/>
        <w:tblCellMar>
          <w:top w:w="0" w:type="dxa"/>
          <w:left w:w="108" w:type="dxa"/>
          <w:bottom w:w="0" w:type="dxa"/>
          <w:right w:w="108" w:type="dxa"/>
        </w:tblCellMar>
      </w:tblPr>
      <w:tblGrid>
        <w:gridCol w:w="719"/>
        <w:gridCol w:w="1702"/>
        <w:gridCol w:w="1135"/>
        <w:gridCol w:w="4351"/>
      </w:tblGrid>
      <w:tr w14:paraId="131D96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444" w:hRule="atLeast"/>
          <w:jc w:val="center"/>
        </w:trPr>
        <w:tc>
          <w:tcPr>
            <w:tcW w:w="719" w:type="dxa"/>
            <w:tcBorders>
              <w:top w:val="single" w:color="000000" w:sz="12" w:space="0"/>
              <w:left w:val="single" w:color="000000" w:sz="12" w:space="0"/>
              <w:bottom w:val="single" w:color="000000" w:sz="6" w:space="0"/>
              <w:right w:val="single" w:color="000000" w:sz="6" w:space="0"/>
            </w:tcBorders>
            <w:shd w:val="clear" w:color="auto" w:fill="auto"/>
            <w:vAlign w:val="center"/>
          </w:tcPr>
          <w:p w14:paraId="06039EF4">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序号</w:t>
            </w:r>
          </w:p>
        </w:tc>
        <w:tc>
          <w:tcPr>
            <w:tcW w:w="1702" w:type="dxa"/>
            <w:tcBorders>
              <w:top w:val="single" w:color="000000" w:sz="12" w:space="0"/>
              <w:left w:val="single" w:color="000000" w:sz="6" w:space="0"/>
              <w:bottom w:val="single" w:color="000000" w:sz="6" w:space="0"/>
              <w:right w:val="single" w:color="000000" w:sz="6" w:space="0"/>
            </w:tcBorders>
            <w:shd w:val="clear" w:color="auto" w:fill="auto"/>
            <w:vAlign w:val="center"/>
          </w:tcPr>
          <w:p w14:paraId="642EDD9D">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岗位</w:t>
            </w:r>
          </w:p>
        </w:tc>
        <w:tc>
          <w:tcPr>
            <w:tcW w:w="1135" w:type="dxa"/>
            <w:tcBorders>
              <w:top w:val="single" w:color="000000" w:sz="12" w:space="0"/>
              <w:left w:val="single" w:color="000000" w:sz="6" w:space="0"/>
              <w:bottom w:val="single" w:color="000000" w:sz="6" w:space="0"/>
              <w:right w:val="single" w:color="000000" w:sz="6" w:space="0"/>
            </w:tcBorders>
            <w:shd w:val="clear" w:color="auto" w:fill="auto"/>
            <w:vAlign w:val="center"/>
          </w:tcPr>
          <w:p w14:paraId="1D7B4C9F">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数量</w:t>
            </w:r>
          </w:p>
        </w:tc>
        <w:tc>
          <w:tcPr>
            <w:tcW w:w="4351" w:type="dxa"/>
            <w:tcBorders>
              <w:top w:val="single" w:color="000000" w:sz="12" w:space="0"/>
              <w:left w:val="single" w:color="000000" w:sz="6" w:space="0"/>
              <w:bottom w:val="single" w:color="000000" w:sz="6" w:space="0"/>
              <w:right w:val="single" w:color="000000" w:sz="12" w:space="0"/>
            </w:tcBorders>
            <w:shd w:val="clear" w:color="auto" w:fill="auto"/>
            <w:vAlign w:val="center"/>
          </w:tcPr>
          <w:p w14:paraId="3F119D3E">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备注</w:t>
            </w:r>
          </w:p>
        </w:tc>
      </w:tr>
      <w:tr w14:paraId="42269E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799" w:hRule="atLeast"/>
          <w:jc w:val="center"/>
        </w:trPr>
        <w:tc>
          <w:tcPr>
            <w:tcW w:w="719" w:type="dxa"/>
            <w:tcBorders>
              <w:top w:val="single" w:color="000000" w:sz="6" w:space="0"/>
              <w:left w:val="single" w:color="000000" w:sz="12" w:space="0"/>
              <w:bottom w:val="single" w:color="000000" w:sz="6" w:space="0"/>
              <w:right w:val="single" w:color="000000" w:sz="6" w:space="0"/>
            </w:tcBorders>
            <w:shd w:val="clear" w:color="auto" w:fill="auto"/>
            <w:vAlign w:val="center"/>
          </w:tcPr>
          <w:p w14:paraId="580DAC27">
            <w:pPr>
              <w:keepNext w:val="0"/>
              <w:keepLines w:val="0"/>
              <w:widowControl w:val="0"/>
              <w:suppressLineNumbers w:val="0"/>
              <w:topLinePunct/>
              <w:adjustRightInd w:val="0"/>
              <w:snapToGrid w:val="0"/>
              <w:spacing w:before="0" w:beforeAutospacing="0" w:after="0" w:afterAutospacing="0" w:line="360" w:lineRule="auto"/>
              <w:ind w:left="222" w:right="-64"/>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w:t>
            </w:r>
          </w:p>
        </w:tc>
        <w:tc>
          <w:tcPr>
            <w:tcW w:w="1702" w:type="dxa"/>
            <w:tcBorders>
              <w:top w:val="single" w:color="000000" w:sz="6" w:space="0"/>
              <w:left w:val="single" w:color="000000" w:sz="6" w:space="0"/>
              <w:bottom w:val="single" w:color="000000" w:sz="6" w:space="0"/>
              <w:right w:val="single" w:color="000000" w:sz="6" w:space="0"/>
            </w:tcBorders>
            <w:shd w:val="clear" w:color="auto" w:fill="auto"/>
            <w:vAlign w:val="top"/>
          </w:tcPr>
          <w:p w14:paraId="36D03362">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p>
        </w:tc>
        <w:tc>
          <w:tcPr>
            <w:tcW w:w="1135" w:type="dxa"/>
            <w:tcBorders>
              <w:top w:val="single" w:color="000000" w:sz="6" w:space="0"/>
              <w:left w:val="single" w:color="000000" w:sz="6" w:space="0"/>
              <w:bottom w:val="single" w:color="000000" w:sz="6" w:space="0"/>
              <w:right w:val="single" w:color="000000" w:sz="6" w:space="0"/>
            </w:tcBorders>
            <w:shd w:val="clear" w:color="auto" w:fill="auto"/>
            <w:vAlign w:val="top"/>
          </w:tcPr>
          <w:p w14:paraId="0D7FDBB9">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p>
        </w:tc>
        <w:tc>
          <w:tcPr>
            <w:tcW w:w="4351" w:type="dxa"/>
            <w:tcBorders>
              <w:top w:val="single" w:color="000000" w:sz="6" w:space="0"/>
              <w:left w:val="single" w:color="000000" w:sz="6" w:space="0"/>
              <w:bottom w:val="single" w:color="000000" w:sz="6" w:space="0"/>
              <w:right w:val="single" w:color="000000" w:sz="12" w:space="0"/>
            </w:tcBorders>
            <w:shd w:val="clear" w:color="auto" w:fill="auto"/>
            <w:vAlign w:val="top"/>
          </w:tcPr>
          <w:p w14:paraId="0EC72F4D">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p>
        </w:tc>
      </w:tr>
      <w:tr w14:paraId="0768CCD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799" w:hRule="atLeast"/>
          <w:jc w:val="center"/>
        </w:trPr>
        <w:tc>
          <w:tcPr>
            <w:tcW w:w="719" w:type="dxa"/>
            <w:tcBorders>
              <w:top w:val="single" w:color="000000" w:sz="6" w:space="0"/>
              <w:left w:val="single" w:color="000000" w:sz="12" w:space="0"/>
              <w:bottom w:val="single" w:color="000000" w:sz="6" w:space="0"/>
              <w:right w:val="single" w:color="000000" w:sz="6" w:space="0"/>
            </w:tcBorders>
            <w:shd w:val="clear" w:color="auto" w:fill="auto"/>
            <w:vAlign w:val="center"/>
          </w:tcPr>
          <w:p w14:paraId="7C851409">
            <w:pPr>
              <w:keepNext w:val="0"/>
              <w:keepLines w:val="0"/>
              <w:widowControl w:val="0"/>
              <w:suppressLineNumbers w:val="0"/>
              <w:topLinePunct/>
              <w:adjustRightInd w:val="0"/>
              <w:snapToGrid w:val="0"/>
              <w:spacing w:before="0" w:beforeAutospacing="0" w:after="0" w:afterAutospacing="0" w:line="360" w:lineRule="auto"/>
              <w:ind w:left="222" w:right="-64"/>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w:t>
            </w:r>
          </w:p>
        </w:tc>
        <w:tc>
          <w:tcPr>
            <w:tcW w:w="1702" w:type="dxa"/>
            <w:tcBorders>
              <w:top w:val="single" w:color="000000" w:sz="6" w:space="0"/>
              <w:left w:val="single" w:color="000000" w:sz="6" w:space="0"/>
              <w:bottom w:val="single" w:color="000000" w:sz="6" w:space="0"/>
              <w:right w:val="single" w:color="000000" w:sz="6" w:space="0"/>
            </w:tcBorders>
            <w:shd w:val="clear" w:color="auto" w:fill="auto"/>
            <w:vAlign w:val="top"/>
          </w:tcPr>
          <w:p w14:paraId="76622907">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p>
        </w:tc>
        <w:tc>
          <w:tcPr>
            <w:tcW w:w="1135" w:type="dxa"/>
            <w:tcBorders>
              <w:top w:val="single" w:color="000000" w:sz="6" w:space="0"/>
              <w:left w:val="single" w:color="000000" w:sz="6" w:space="0"/>
              <w:bottom w:val="single" w:color="000000" w:sz="6" w:space="0"/>
              <w:right w:val="single" w:color="000000" w:sz="6" w:space="0"/>
            </w:tcBorders>
            <w:shd w:val="clear" w:color="auto" w:fill="auto"/>
            <w:vAlign w:val="top"/>
          </w:tcPr>
          <w:p w14:paraId="0F0E7067">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p>
        </w:tc>
        <w:tc>
          <w:tcPr>
            <w:tcW w:w="4351" w:type="dxa"/>
            <w:tcBorders>
              <w:top w:val="single" w:color="000000" w:sz="6" w:space="0"/>
              <w:left w:val="single" w:color="000000" w:sz="6" w:space="0"/>
              <w:bottom w:val="single" w:color="000000" w:sz="6" w:space="0"/>
              <w:right w:val="single" w:color="000000" w:sz="12" w:space="0"/>
            </w:tcBorders>
            <w:shd w:val="clear" w:color="auto" w:fill="auto"/>
            <w:vAlign w:val="top"/>
          </w:tcPr>
          <w:p w14:paraId="41D2F666">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p>
        </w:tc>
      </w:tr>
      <w:tr w14:paraId="798451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99" w:hRule="atLeast"/>
          <w:jc w:val="center"/>
        </w:trPr>
        <w:tc>
          <w:tcPr>
            <w:tcW w:w="719" w:type="dxa"/>
            <w:tcBorders>
              <w:top w:val="single" w:color="000000" w:sz="6" w:space="0"/>
              <w:left w:val="single" w:color="000000" w:sz="12" w:space="0"/>
              <w:bottom w:val="single" w:color="000000" w:sz="6" w:space="0"/>
              <w:right w:val="single" w:color="000000" w:sz="6" w:space="0"/>
            </w:tcBorders>
            <w:shd w:val="clear" w:color="auto" w:fill="auto"/>
            <w:vAlign w:val="center"/>
          </w:tcPr>
          <w:p w14:paraId="3907D167">
            <w:pPr>
              <w:keepNext w:val="0"/>
              <w:keepLines w:val="0"/>
              <w:widowControl w:val="0"/>
              <w:suppressLineNumbers w:val="0"/>
              <w:topLinePunct/>
              <w:adjustRightInd w:val="0"/>
              <w:snapToGrid w:val="0"/>
              <w:spacing w:before="0" w:beforeAutospacing="0" w:after="0" w:afterAutospacing="0" w:line="360" w:lineRule="auto"/>
              <w:ind w:left="222" w:right="-64"/>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w:t>
            </w:r>
          </w:p>
        </w:tc>
        <w:tc>
          <w:tcPr>
            <w:tcW w:w="1702" w:type="dxa"/>
            <w:tcBorders>
              <w:top w:val="single" w:color="000000" w:sz="6" w:space="0"/>
              <w:left w:val="single" w:color="000000" w:sz="6" w:space="0"/>
              <w:bottom w:val="single" w:color="000000" w:sz="6" w:space="0"/>
              <w:right w:val="single" w:color="000000" w:sz="6" w:space="0"/>
            </w:tcBorders>
            <w:shd w:val="clear" w:color="auto" w:fill="auto"/>
            <w:vAlign w:val="top"/>
          </w:tcPr>
          <w:p w14:paraId="21003F5D">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p>
        </w:tc>
        <w:tc>
          <w:tcPr>
            <w:tcW w:w="1135" w:type="dxa"/>
            <w:tcBorders>
              <w:top w:val="single" w:color="000000" w:sz="6" w:space="0"/>
              <w:left w:val="single" w:color="000000" w:sz="6" w:space="0"/>
              <w:bottom w:val="single" w:color="000000" w:sz="6" w:space="0"/>
              <w:right w:val="single" w:color="000000" w:sz="6" w:space="0"/>
            </w:tcBorders>
            <w:shd w:val="clear" w:color="auto" w:fill="auto"/>
            <w:vAlign w:val="top"/>
          </w:tcPr>
          <w:p w14:paraId="6437EAEB">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p>
        </w:tc>
        <w:tc>
          <w:tcPr>
            <w:tcW w:w="4351" w:type="dxa"/>
            <w:tcBorders>
              <w:top w:val="single" w:color="000000" w:sz="6" w:space="0"/>
              <w:left w:val="single" w:color="000000" w:sz="6" w:space="0"/>
              <w:bottom w:val="single" w:color="000000" w:sz="6" w:space="0"/>
              <w:right w:val="single" w:color="000000" w:sz="12" w:space="0"/>
            </w:tcBorders>
            <w:shd w:val="clear" w:color="auto" w:fill="auto"/>
            <w:vAlign w:val="top"/>
          </w:tcPr>
          <w:p w14:paraId="381E4318">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p>
        </w:tc>
      </w:tr>
      <w:tr w14:paraId="37AAFE4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shd w:val="clear" w:color="auto" w:fill="auto"/>
          <w:tblCellMar>
            <w:top w:w="0" w:type="dxa"/>
            <w:left w:w="108" w:type="dxa"/>
            <w:bottom w:w="0" w:type="dxa"/>
            <w:right w:w="108" w:type="dxa"/>
          </w:tblCellMar>
        </w:tblPrEx>
        <w:trPr>
          <w:trHeight w:val="799" w:hRule="atLeast"/>
          <w:jc w:val="center"/>
        </w:trPr>
        <w:tc>
          <w:tcPr>
            <w:tcW w:w="719" w:type="dxa"/>
            <w:tcBorders>
              <w:top w:val="single" w:color="000000" w:sz="6" w:space="0"/>
              <w:left w:val="single" w:color="000000" w:sz="12" w:space="0"/>
              <w:bottom w:val="single" w:color="000000" w:sz="12" w:space="0"/>
              <w:right w:val="single" w:color="000000" w:sz="6" w:space="0"/>
            </w:tcBorders>
            <w:shd w:val="clear" w:color="auto" w:fill="auto"/>
            <w:vAlign w:val="center"/>
          </w:tcPr>
          <w:p w14:paraId="1E67C78F">
            <w:pPr>
              <w:keepNext w:val="0"/>
              <w:keepLines w:val="0"/>
              <w:widowControl w:val="0"/>
              <w:suppressLineNumbers w:val="0"/>
              <w:topLinePunct/>
              <w:adjustRightInd w:val="0"/>
              <w:snapToGrid w:val="0"/>
              <w:spacing w:before="0" w:beforeAutospacing="0" w:after="0" w:afterAutospacing="0" w:line="360" w:lineRule="auto"/>
              <w:ind w:left="222" w:right="-64"/>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w:t>
            </w:r>
          </w:p>
        </w:tc>
        <w:tc>
          <w:tcPr>
            <w:tcW w:w="1702" w:type="dxa"/>
            <w:tcBorders>
              <w:top w:val="single" w:color="000000" w:sz="6" w:space="0"/>
              <w:left w:val="single" w:color="000000" w:sz="6" w:space="0"/>
              <w:bottom w:val="single" w:color="000000" w:sz="12" w:space="0"/>
              <w:right w:val="single" w:color="000000" w:sz="6" w:space="0"/>
            </w:tcBorders>
            <w:shd w:val="clear" w:color="auto" w:fill="auto"/>
            <w:vAlign w:val="top"/>
          </w:tcPr>
          <w:p w14:paraId="74F18EA1">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w:t>
            </w:r>
          </w:p>
        </w:tc>
        <w:tc>
          <w:tcPr>
            <w:tcW w:w="1135" w:type="dxa"/>
            <w:tcBorders>
              <w:top w:val="single" w:color="000000" w:sz="6" w:space="0"/>
              <w:left w:val="single" w:color="000000" w:sz="6" w:space="0"/>
              <w:bottom w:val="single" w:color="000000" w:sz="12" w:space="0"/>
              <w:right w:val="single" w:color="000000" w:sz="6" w:space="0"/>
            </w:tcBorders>
            <w:shd w:val="clear" w:color="auto" w:fill="auto"/>
            <w:vAlign w:val="top"/>
          </w:tcPr>
          <w:p w14:paraId="53C8D746">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w:t>
            </w:r>
          </w:p>
        </w:tc>
        <w:tc>
          <w:tcPr>
            <w:tcW w:w="4351" w:type="dxa"/>
            <w:tcBorders>
              <w:top w:val="single" w:color="000000" w:sz="6" w:space="0"/>
              <w:left w:val="single" w:color="000000" w:sz="6" w:space="0"/>
              <w:bottom w:val="single" w:color="000000" w:sz="12" w:space="0"/>
              <w:right w:val="single" w:color="000000" w:sz="12" w:space="0"/>
            </w:tcBorders>
            <w:shd w:val="clear" w:color="auto" w:fill="auto"/>
            <w:vAlign w:val="top"/>
          </w:tcPr>
          <w:p w14:paraId="01F182D0">
            <w:pPr>
              <w:keepNext w:val="0"/>
              <w:keepLines w:val="0"/>
              <w:widowControl w:val="0"/>
              <w:suppressLineNumbers w:val="0"/>
              <w:adjustRightInd w:val="0"/>
              <w:snapToGrid w:val="0"/>
              <w:spacing w:before="0" w:beforeAutospacing="0" w:after="0" w:afterAutospacing="0" w:line="360" w:lineRule="auto"/>
              <w:ind w:left="-50" w:right="0"/>
              <w:jc w:val="center"/>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w:t>
            </w:r>
          </w:p>
        </w:tc>
      </w:tr>
    </w:tbl>
    <w:p w14:paraId="58F3B25B">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仿宋" w:hAnsi="仿宋" w:eastAsia="仿宋" w:cs="仿宋"/>
          <w:color w:val="auto"/>
          <w:szCs w:val="21"/>
          <w:highlight w:val="none"/>
          <w:lang w:val="en-US"/>
        </w:rPr>
      </w:pPr>
    </w:p>
    <w:p w14:paraId="26C0ABB6">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7、乙方聘用的绿化工人必须贯彻执行劳动法律法规，应及时支付用工报酬，购买所属人员的人身意外保险和相应社保，如因拖欠用工报酬而引起的不良影响，乙方应承担由此引发的一切后果。</w:t>
      </w:r>
    </w:p>
    <w:p w14:paraId="15957E25">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8、乙方应注意安全生产，学校属于人员密集型场所，喷药、施肥或使用大型器械施工作业时尽量应避开学生在校时间段。乙方应加强对养护机械的安全作业管理，对工作人员进行安全教育，并对他们的安全负责，确保全年安全生产零事故。养护期间，因乙方原因造成任何人身伤亡事件或任何财产损坏、损失，乙方须负完全法律责任，并赔偿甲方遭受的一切损失；若乙方不付上述费用时，甲方有权从支付给乙方的合同款项中扣除上述费用，不足之数由乙方另行支付。</w:t>
      </w:r>
    </w:p>
    <w:p w14:paraId="3C1EBE19">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10、乙方不得将合同内容部分或全部以任何方式分包、转包、转让给第三人。</w:t>
      </w:r>
    </w:p>
    <w:p w14:paraId="1FE54534">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六、违约责任</w:t>
      </w:r>
    </w:p>
    <w:p w14:paraId="2AA7BC22">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1、合同签订后，除本合同另有约定外，任何一方不得擅自终止或解除本合同。一方提前解除合同的，应提前二个月以书面的形式通知对方，并支付</w:t>
      </w:r>
      <w:r>
        <w:rPr>
          <w:rFonts w:hint="eastAsia" w:ascii="仿宋" w:hAnsi="仿宋" w:eastAsia="仿宋" w:cs="仿宋"/>
          <w:color w:val="auto"/>
          <w:kern w:val="2"/>
          <w:sz w:val="21"/>
          <w:szCs w:val="21"/>
          <w:highlight w:val="none"/>
          <w:u w:val="single"/>
          <w:lang w:val="en-US" w:eastAsia="zh-CN" w:bidi="ar"/>
        </w:rPr>
        <w:t xml:space="preserve"> 20000 </w:t>
      </w:r>
      <w:r>
        <w:rPr>
          <w:rFonts w:hint="eastAsia" w:ascii="仿宋" w:hAnsi="仿宋" w:eastAsia="仿宋" w:cs="仿宋"/>
          <w:color w:val="auto"/>
          <w:kern w:val="2"/>
          <w:sz w:val="21"/>
          <w:szCs w:val="21"/>
          <w:highlight w:val="none"/>
          <w:lang w:val="en-US" w:eastAsia="zh-CN" w:bidi="ar"/>
        </w:rPr>
        <w:t>元的违约金。</w:t>
      </w:r>
    </w:p>
    <w:p w14:paraId="56A82C29">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因乙方原因，养护质量未达到合同约定的养护标准，甲方有权扣除当期养护费用的10%作为违约金；乙方养护质量连续2个季度或累计3个季度未达到合同约定的养护标准的，甲方有权解除本合同，并要求乙方按照合同总价的20%向甲方支付违约金。</w:t>
      </w:r>
    </w:p>
    <w:p w14:paraId="74B5C740">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3、乙方违反本合同约定，又未按照本合同的约定或甲方要求进行整改的，每逾期一日，应向甲方支付违约金</w:t>
      </w:r>
      <w:r>
        <w:rPr>
          <w:rFonts w:hint="eastAsia" w:ascii="仿宋" w:hAnsi="仿宋" w:eastAsia="仿宋" w:cs="仿宋"/>
          <w:color w:val="auto"/>
          <w:kern w:val="2"/>
          <w:sz w:val="21"/>
          <w:szCs w:val="21"/>
          <w:highlight w:val="none"/>
          <w:u w:val="single"/>
          <w:lang w:val="en-US" w:eastAsia="zh-CN" w:bidi="ar"/>
        </w:rPr>
        <w:t xml:space="preserve"> 500 </w:t>
      </w:r>
      <w:r>
        <w:rPr>
          <w:rFonts w:hint="eastAsia" w:ascii="仿宋" w:hAnsi="仿宋" w:eastAsia="仿宋" w:cs="仿宋"/>
          <w:color w:val="auto"/>
          <w:kern w:val="2"/>
          <w:sz w:val="21"/>
          <w:szCs w:val="21"/>
          <w:highlight w:val="none"/>
          <w:lang w:val="en-US" w:eastAsia="zh-CN" w:bidi="ar"/>
        </w:rPr>
        <w:t>元；逾期达30日，甲方有权解除本合同，并要求乙方按照合同总价的20%向甲方支付违约金。</w:t>
      </w:r>
    </w:p>
    <w:p w14:paraId="0CCEA107">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4、因乙方原因造成人员死亡、或3人以上（含本数）重伤，或给甲方造成经济损失达</w:t>
      </w:r>
      <w:r>
        <w:rPr>
          <w:rFonts w:hint="eastAsia" w:ascii="仿宋" w:hAnsi="仿宋" w:eastAsia="仿宋" w:cs="仿宋"/>
          <w:color w:val="auto"/>
          <w:kern w:val="2"/>
          <w:sz w:val="21"/>
          <w:szCs w:val="21"/>
          <w:highlight w:val="none"/>
          <w:u w:val="single"/>
          <w:lang w:val="en-US" w:eastAsia="zh-CN" w:bidi="ar"/>
        </w:rPr>
        <w:t>50</w:t>
      </w:r>
      <w:r>
        <w:rPr>
          <w:rFonts w:hint="eastAsia" w:ascii="仿宋" w:hAnsi="仿宋" w:eastAsia="仿宋" w:cs="仿宋"/>
          <w:color w:val="auto"/>
          <w:kern w:val="2"/>
          <w:sz w:val="21"/>
          <w:szCs w:val="21"/>
          <w:highlight w:val="none"/>
          <w:lang w:val="en-US" w:eastAsia="zh-CN" w:bidi="ar"/>
        </w:rPr>
        <w:t>万元以上（含本数）的，甲方有权解除本合同，并要求乙方按照合同总价的20%向甲方支付违约金。</w:t>
      </w:r>
    </w:p>
    <w:p w14:paraId="76941058">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5、本合同及其附件约定的违约金不足以弥补甲方的实际损失的，以实际损失为准进行赔偿。实际损失的赔偿范围包括但不限于甲方的所有直接损失和为减少损失及解决纠纷而支出的诉讼费、律师费、交通费、咨询费、文件制作费、差旅费等。</w:t>
      </w:r>
    </w:p>
    <w:p w14:paraId="40E14322">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七、不可抗力</w:t>
      </w:r>
    </w:p>
    <w:p w14:paraId="7AB42BF2">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1.因不可抗力不能履行合同的，根据不可抗力的影响，部分或者全部免除责任。但合同一方延迟履行后发生严重后果的不能免除责任。</w:t>
      </w:r>
    </w:p>
    <w:p w14:paraId="3057FF3A">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2.合同一方因不可抗力不能履行合同的，应及时通知对方以减轻可能给对方造成的损失，并应当在合理期限内提供证明。</w:t>
      </w:r>
    </w:p>
    <w:p w14:paraId="2EBC63B4">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八、合同的解除</w:t>
      </w:r>
    </w:p>
    <w:p w14:paraId="75B4388B">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1、甲方和乙方协商一致，可以解除合同。</w:t>
      </w:r>
    </w:p>
    <w:p w14:paraId="3ADC951F">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2、有下列情形之一，合同一方可以解除合同。</w:t>
      </w:r>
    </w:p>
    <w:p w14:paraId="20ED29A7">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 xml:space="preserve">    （1）因不可抗力致使不能实现合同目的，未受不可抗力影响的一方有权解除合同。</w:t>
      </w:r>
    </w:p>
    <w:p w14:paraId="17276386">
      <w:pPr>
        <w:keepNext w:val="0"/>
        <w:keepLines w:val="0"/>
        <w:widowControl w:val="0"/>
        <w:suppressLineNumbers w:val="0"/>
        <w:adjustRightInd w:val="0"/>
        <w:snapToGrid w:val="0"/>
        <w:spacing w:before="0" w:beforeAutospacing="0" w:after="0" w:afterAutospacing="0" w:line="360" w:lineRule="auto"/>
        <w:ind w:left="0" w:right="0" w:firstLine="48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（2）因合同一方违约导致合同不能履行，另一方有权解除合同。</w:t>
      </w:r>
    </w:p>
    <w:p w14:paraId="7A439554">
      <w:pPr>
        <w:keepNext w:val="0"/>
        <w:keepLines w:val="0"/>
        <w:widowControl w:val="0"/>
        <w:suppressLineNumbers w:val="0"/>
        <w:adjustRightInd w:val="0"/>
        <w:snapToGrid w:val="0"/>
        <w:spacing w:before="0" w:beforeAutospacing="0" w:after="0" w:afterAutospacing="0" w:line="360" w:lineRule="auto"/>
        <w:ind w:left="0" w:right="0" w:firstLine="48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3、本合同约定的其他可以解除合同的情形。</w:t>
      </w:r>
    </w:p>
    <w:p w14:paraId="4885AF28">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九、合同的生效</w:t>
      </w:r>
    </w:p>
    <w:p w14:paraId="70C23130">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本合同在双方签字盖章后生效。</w:t>
      </w:r>
    </w:p>
    <w:p w14:paraId="023FBCD5">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十、争议解决</w:t>
      </w:r>
    </w:p>
    <w:p w14:paraId="60C9B3FE">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甲乙双方因合同发生争议，签约双方应友好协商解决。协商不成，任何一方可以向甲方所在地人民法院起诉。</w:t>
      </w:r>
    </w:p>
    <w:p w14:paraId="1B4BDB24">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十一、附则</w:t>
      </w:r>
    </w:p>
    <w:p w14:paraId="3FBC52EA">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1.本合同一式四份，甲乙双方各执两份。</w:t>
      </w:r>
    </w:p>
    <w:p w14:paraId="2C3ECA2C">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2.本合同未尽事宜按《中华人民共和国民法典》以及相关法律，法规的规定执行。</w:t>
      </w:r>
    </w:p>
    <w:p w14:paraId="3614E1C1">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3．甲乙双方的联系方式以本合同签章处注明的联系方式为准，任何一方变更联系方式时，应提前3日以书面形式通知对方。如因联系方式变更而未提前以书面方式通知对方，导致通知无法按时送达的，视为已送达，由变更方自行承担相应的法律责任。</w:t>
      </w:r>
    </w:p>
    <w:p w14:paraId="2740CF24">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4．本合同文本中的“日”、“天”，除特别指出为工作日的，一律按日历天解释。</w:t>
      </w:r>
    </w:p>
    <w:p w14:paraId="4973C13A">
      <w:pPr>
        <w:keepNext w:val="0"/>
        <w:keepLines w:val="0"/>
        <w:widowControl w:val="0"/>
        <w:suppressLineNumbers w:val="0"/>
        <w:adjustRightInd w:val="0"/>
        <w:snapToGrid w:val="0"/>
        <w:spacing w:before="0" w:beforeAutospacing="0" w:after="0" w:afterAutospacing="0" w:line="360" w:lineRule="auto"/>
        <w:ind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 xml:space="preserve">甲      方: (公章)                     乙      方: (公章)                     </w:t>
      </w:r>
    </w:p>
    <w:p w14:paraId="73FBAA87">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 xml:space="preserve">法定代表人:（盖章或签字）              法定代表人:（盖章或签字）                          </w:t>
      </w:r>
    </w:p>
    <w:p w14:paraId="4DB22B0E">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地址：                                 地址：</w:t>
      </w:r>
    </w:p>
    <w:p w14:paraId="79949772">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联系人：                               联系人：</w:t>
      </w:r>
    </w:p>
    <w:p w14:paraId="14EF93DC">
      <w:pPr>
        <w:keepNext w:val="0"/>
        <w:keepLines w:val="0"/>
        <w:widowControl w:val="0"/>
        <w:suppressLineNumbers w:val="0"/>
        <w:adjustRightInd w:val="0"/>
        <w:snapToGrid w:val="0"/>
        <w:spacing w:before="0" w:beforeAutospacing="0" w:after="0" w:afterAutospacing="0" w:line="360" w:lineRule="auto"/>
        <w:ind w:left="0" w:right="0" w:firstLine="420" w:firstLineChars="200"/>
        <w:jc w:val="left"/>
        <w:rPr>
          <w:rFonts w:hint="eastAsia" w:ascii="仿宋" w:hAnsi="仿宋" w:eastAsia="仿宋" w:cs="仿宋"/>
          <w:color w:val="auto"/>
          <w:szCs w:val="21"/>
          <w:highlight w:val="none"/>
          <w:lang w:val="en-US"/>
        </w:rPr>
      </w:pPr>
      <w:r>
        <w:rPr>
          <w:rFonts w:hint="eastAsia" w:ascii="仿宋" w:hAnsi="仿宋" w:eastAsia="仿宋" w:cs="仿宋"/>
          <w:color w:val="auto"/>
          <w:kern w:val="2"/>
          <w:sz w:val="21"/>
          <w:szCs w:val="21"/>
          <w:highlight w:val="none"/>
          <w:lang w:val="en-US" w:eastAsia="zh-CN" w:bidi="ar"/>
        </w:rPr>
        <w:t>联系电话：                             联系电话：</w:t>
      </w:r>
    </w:p>
    <w:p w14:paraId="75C460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AAE283"/>
    <w:multiLevelType w:val="multilevel"/>
    <w:tmpl w:val="1EAAE283"/>
    <w:lvl w:ilvl="0" w:tentative="0">
      <w:start w:val="4"/>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521A1"/>
    <w:rsid w:val="0C252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qFormat/>
    <w:uiPriority w:val="0"/>
    <w:rPr>
      <w:color w:val="0563C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2026-04-22T06:04:00Z</dcterms:created>
  <dc:creator>Administrator</dc:creator>
  <cp:lastModifiedBy>Administrator</cp:lastModifiedBy>
  <dcterms:modified xsi:type="dcterms:W3CDTF">2026-04-22T06:05:26Z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A95CF8C77FE549F69908FE62EDF6EAB6_11</vt:lpwstr>
  </property>
  <property fmtid="{D5CDD505-2E9C-101B-9397-08002B2CF9AE}" pid="4" name="KSOTemplateDocerSaveRecord">
    <vt:lpwstr>eyJoZGlkIjoiMzIyY2ZlMTg4ZGY0MDcxYjM1OTAzZTczOTEzNDRkZTUiLCJ1c2VySWQiOiIyNzA2MDkxMDAifQ==</vt:lpwstr>
  </property>
</Properties>
</file>