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版本号：JDZB-2026-1020260421001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西安市水土流失治理精准监测项目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JDZB-2026-10</w:t>
      </w:r>
      <w:r>
        <w:br/>
      </w:r>
      <w:r>
        <w:br/>
      </w:r>
      <w:r>
        <w:br/>
      </w:r>
    </w:p>
    <w:p>
      <w:pPr>
        <w:pStyle w:val="null3"/>
        <w:jc w:val="center"/>
        <w:outlineLvl w:val="2"/>
      </w:pPr>
      <w:r>
        <w:rPr>
          <w:rFonts w:ascii="仿宋_GB2312" w:hAnsi="仿宋_GB2312" w:cs="仿宋_GB2312" w:eastAsia="仿宋_GB2312"/>
          <w:sz w:val="28"/>
          <w:b/>
        </w:rPr>
        <w:t>西安市水利水土保持工作总站</w:t>
      </w:r>
    </w:p>
    <w:p>
      <w:pPr>
        <w:pStyle w:val="null3"/>
        <w:jc w:val="center"/>
        <w:outlineLvl w:val="2"/>
      </w:pPr>
      <w:r>
        <w:rPr>
          <w:rFonts w:ascii="仿宋_GB2312" w:hAnsi="仿宋_GB2312" w:cs="仿宋_GB2312" w:eastAsia="仿宋_GB2312"/>
          <w:sz w:val="28"/>
          <w:b/>
        </w:rPr>
        <w:t>九鼎工程管理咨询有限公司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九鼎工程管理咨询有限公司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西安市水利水土保持工作总站</w:t>
      </w:r>
      <w:r>
        <w:rPr>
          <w:rFonts w:ascii="仿宋_GB2312" w:hAnsi="仿宋_GB2312" w:cs="仿宋_GB2312" w:eastAsia="仿宋_GB2312"/>
        </w:rPr>
        <w:t>委托，拟对</w:t>
      </w:r>
      <w:r>
        <w:rPr>
          <w:rFonts w:ascii="仿宋_GB2312" w:hAnsi="仿宋_GB2312" w:cs="仿宋_GB2312" w:eastAsia="仿宋_GB2312"/>
        </w:rPr>
        <w:t>西安市水土流失治理精准监测项目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JDZB-2026-10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西安市水土流失治理精准监测项目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综合运用高分辨率卫星遥感、无人机航空遥感及现场实地调查等多元化技术手段，对现有省级水土流失动态监测成果进行本地化优化与精细化处理，科学划定西安市水土流失矢量图斑，明确水土流失精准治理区域。并提出水土流失分阶段分区域治理建议，选取典型区域提出水土保持措施布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1、授权委托书：供应商应授权合法的人员参加磋商，其中法定代表人直接参加的，须出具法定代表人身份证明，并与营业执照上信息一致。法定代表人授权代表参加的，须出具法定代表人授权委托书。</w:t>
      </w:r>
    </w:p>
    <w:p>
      <w:pPr>
        <w:pStyle w:val="null3"/>
      </w:pPr>
      <w:r>
        <w:rPr>
          <w:rFonts w:ascii="仿宋_GB2312" w:hAnsi="仿宋_GB2312" w:cs="仿宋_GB2312" w:eastAsia="仿宋_GB2312"/>
        </w:rPr>
        <w:t>2、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控股关系说明：单位负责人为同一人或者存在直接控股、管理关系的不同单位，不得参加同一合同项下的政府采购活动。除单一来源采购项目外，为采购项目提供整体设计、规范编制或者项目管理、检测等服务的供应商，不得再参加该采购项目的其他采购活动。</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西安市水利水土保持工作总站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陕西省西安市未央区凤锦路58路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西安市水利水土保持工作总站经办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029-62645854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九鼎工程管理咨询有限公司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西安市未央区二环北路西段福瑞苑大厦二单元18楼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15353051166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以中标金额为基数,参照《国家计委关于印发&lt;招标代理服务收费管理暂行办法&gt;的通知》（计价格【2002】1980号）、国家发展改革委办公厅关于招标代理服务收费有关问题的通知发改办价格【2003】857号、《国家发改委关于降低部分建设项目收费标准规范收费行为等有关问题的通知》（发改价格[2011]534号）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西安市水利水土保持工作总站</w:t>
      </w:r>
      <w:r>
        <w:rPr>
          <w:rFonts w:ascii="仿宋_GB2312" w:hAnsi="仿宋_GB2312" w:cs="仿宋_GB2312" w:eastAsia="仿宋_GB2312"/>
        </w:rPr>
        <w:t>和</w:t>
      </w:r>
      <w:r>
        <w:rPr>
          <w:rFonts w:ascii="仿宋_GB2312" w:hAnsi="仿宋_GB2312" w:cs="仿宋_GB2312" w:eastAsia="仿宋_GB2312"/>
        </w:rPr>
        <w:t>九鼎工程管理咨询有限公司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西安市水利水土保持工作总站</w:t>
      </w:r>
      <w:r>
        <w:rPr>
          <w:rFonts w:ascii="仿宋_GB2312" w:hAnsi="仿宋_GB2312" w:cs="仿宋_GB2312" w:eastAsia="仿宋_GB2312"/>
        </w:rPr>
        <w:t>负责解释。除上述磋商文件内容，其他内容由</w:t>
      </w:r>
      <w:r>
        <w:rPr>
          <w:rFonts w:ascii="仿宋_GB2312" w:hAnsi="仿宋_GB2312" w:cs="仿宋_GB2312" w:eastAsia="仿宋_GB2312"/>
        </w:rPr>
        <w:t>九鼎工程管理咨询有限公司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西安市水利水土保持工作总站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九鼎工程管理咨询有限公司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九鼎工程管理咨询有限公司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联系人：张晓妮</w:t>
      </w:r>
    </w:p>
    <w:p>
      <w:pPr>
        <w:pStyle w:val="null3"/>
      </w:pPr>
      <w:r>
        <w:rPr>
          <w:rFonts w:ascii="仿宋_GB2312" w:hAnsi="仿宋_GB2312" w:cs="仿宋_GB2312" w:eastAsia="仿宋_GB2312"/>
        </w:rPr>
        <w:t>联系电话：15353051166</w:t>
      </w:r>
    </w:p>
    <w:p>
      <w:pPr>
        <w:pStyle w:val="null3"/>
      </w:pPr>
      <w:r>
        <w:rPr>
          <w:rFonts w:ascii="仿宋_GB2312" w:hAnsi="仿宋_GB2312" w:cs="仿宋_GB2312" w:eastAsia="仿宋_GB2312"/>
        </w:rPr>
        <w:t>地址：西安市未央区二环北路西段福瑞苑大厦二单元18楼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综合运用高分辨率卫星遥感、无人机航空遥感及现场实地调查等多元化技术手段，对现有省级水土流失动态监测成果进行本地化优化与精细化处理，科学划定西安市水土流失矢量图斑，明确水土流失精准治理区域。并提出水土流失分阶段分区域治理建议，选取典型区域提出水土保持措施布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969,000.00</w:t>
      </w:r>
    </w:p>
    <w:p>
      <w:pPr>
        <w:pStyle w:val="null3"/>
      </w:pPr>
      <w:r>
        <w:rPr>
          <w:rFonts w:ascii="仿宋_GB2312" w:hAnsi="仿宋_GB2312" w:cs="仿宋_GB2312" w:eastAsia="仿宋_GB2312"/>
        </w:rPr>
        <w:t>采购包最高限价（元）: 969,000.00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西安市水土流失治理精准监测技术服务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标的名称：西安市水土流失治理精准监测技术服务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shd w:fill="FFFFFF" w:val="clear"/>
              </w:rPr>
              <w:t>一、</w:t>
            </w:r>
            <w:r>
              <w:rPr>
                <w:rFonts w:ascii="仿宋_GB2312" w:hAnsi="仿宋_GB2312" w:cs="仿宋_GB2312" w:eastAsia="仿宋_GB2312"/>
                <w:sz w:val="21"/>
                <w:b/>
                <w:shd w:fill="FFFFFF" w:val="clear"/>
              </w:rPr>
              <w:t>采购内容</w:t>
            </w:r>
          </w:p>
          <w:p>
            <w:pPr>
              <w:pStyle w:val="null3"/>
              <w:ind w:firstLine="420"/>
              <w:jc w:val="left"/>
            </w:pPr>
            <w:r>
              <w:rPr>
                <w:rFonts w:ascii="仿宋_GB2312" w:hAnsi="仿宋_GB2312" w:cs="仿宋_GB2312" w:eastAsia="仿宋_GB2312"/>
                <w:sz w:val="21"/>
                <w:shd w:fill="FFFFFF" w:val="clear"/>
              </w:rPr>
              <w:t>综合运用高分辨率卫星遥感、无人机航空遥感及现场实地调查等多元化技术手段，对现有水土流失动态监测成果进行本地化优化与精细化处理，科学划定全市水土流失矢量图斑，明确水土流失精准治理区域；提出水土流失分阶段分区域治理建议，并选取典型区域提出水土保持措施布局。</w:t>
            </w:r>
          </w:p>
          <w:p>
            <w:pPr>
              <w:pStyle w:val="null3"/>
              <w:jc w:val="left"/>
            </w:pPr>
            <w:r>
              <w:rPr>
                <w:rFonts w:ascii="仿宋_GB2312" w:hAnsi="仿宋_GB2312" w:cs="仿宋_GB2312" w:eastAsia="仿宋_GB2312"/>
                <w:sz w:val="21"/>
                <w:b/>
                <w:shd w:fill="FFFFFF" w:val="clear"/>
              </w:rPr>
              <w:t>二、</w:t>
            </w:r>
            <w:r>
              <w:rPr>
                <w:rFonts w:ascii="仿宋_GB2312" w:hAnsi="仿宋_GB2312" w:cs="仿宋_GB2312" w:eastAsia="仿宋_GB2312"/>
                <w:sz w:val="21"/>
                <w:b/>
                <w:shd w:fill="FFFFFF" w:val="clear"/>
              </w:rPr>
              <w:t>主要功能或目标</w:t>
            </w:r>
          </w:p>
          <w:p>
            <w:pPr>
              <w:pStyle w:val="null3"/>
              <w:ind w:firstLine="420"/>
              <w:jc w:val="left"/>
            </w:pPr>
            <w:r>
              <w:rPr>
                <w:rFonts w:ascii="仿宋_GB2312" w:hAnsi="仿宋_GB2312" w:cs="仿宋_GB2312" w:eastAsia="仿宋_GB2312"/>
                <w:sz w:val="21"/>
                <w:shd w:fill="FFFFFF" w:val="clear"/>
              </w:rPr>
              <w:t>通过水土流失治理精准监测项目摸清水土流失图斑</w:t>
            </w:r>
            <w:r>
              <w:rPr>
                <w:rFonts w:ascii="仿宋_GB2312" w:hAnsi="仿宋_GB2312" w:cs="仿宋_GB2312" w:eastAsia="仿宋_GB2312"/>
                <w:sz w:val="21"/>
                <w:shd w:fill="FFFFFF" w:val="clear"/>
              </w:rPr>
              <w:t>分布，明确精准治理区域，为有效完成新增水土流失治理任务、提高水土保持率提供数据支撑和技术保障。</w:t>
            </w:r>
          </w:p>
          <w:p>
            <w:pPr>
              <w:pStyle w:val="null3"/>
              <w:jc w:val="left"/>
            </w:pPr>
            <w:r>
              <w:rPr>
                <w:rFonts w:ascii="仿宋_GB2312" w:hAnsi="仿宋_GB2312" w:cs="仿宋_GB2312" w:eastAsia="仿宋_GB2312"/>
                <w:sz w:val="21"/>
                <w:b/>
                <w:shd w:fill="FFFFFF" w:val="clear"/>
              </w:rPr>
              <w:t>三、</w:t>
            </w:r>
            <w:r>
              <w:rPr>
                <w:rFonts w:ascii="仿宋_GB2312" w:hAnsi="仿宋_GB2312" w:cs="仿宋_GB2312" w:eastAsia="仿宋_GB2312"/>
                <w:sz w:val="21"/>
                <w:b/>
                <w:shd w:fill="FFFFFF" w:val="clear"/>
              </w:rPr>
              <w:t>需满足的要求</w:t>
            </w:r>
          </w:p>
          <w:p>
            <w:pPr>
              <w:pStyle w:val="null3"/>
              <w:ind w:firstLine="420"/>
              <w:jc w:val="both"/>
            </w:pPr>
            <w:r>
              <w:rPr>
                <w:rFonts w:ascii="仿宋_GB2312" w:hAnsi="仿宋_GB2312" w:cs="仿宋_GB2312" w:eastAsia="仿宋_GB2312"/>
                <w:sz w:val="21"/>
              </w:rPr>
              <w:t>综合运用高分辨率卫星遥感、无人机航空遥感及现场实地调查等多元化技术手段，</w:t>
            </w:r>
            <w:r>
              <w:rPr>
                <w:rFonts w:ascii="仿宋_GB2312" w:hAnsi="仿宋_GB2312" w:cs="仿宋_GB2312" w:eastAsia="仿宋_GB2312"/>
                <w:sz w:val="21"/>
              </w:rPr>
              <w:t>结合优化后的地形、植被等关键因子，更新水土流失现状计算参数，采用空间叠加分析、聚类分析与现场调查相结合的方式</w:t>
            </w:r>
            <w:r>
              <w:rPr>
                <w:rFonts w:ascii="仿宋_GB2312" w:hAnsi="仿宋_GB2312" w:cs="仿宋_GB2312" w:eastAsia="仿宋_GB2312"/>
                <w:sz w:val="21"/>
              </w:rPr>
              <w:t>，对现有水土流失动态监测成果进行本地化优化与精细化处理，形成能直接服务于实践的精准化监测数据，构建符合西安实际的市级动态监测成果体系，为全市水土流失精准治理提供关键基础数据，为政府制定防治政策、优化治理方案提供科学技术支撑。</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、服务要求（包括成果文件要求）</w:t>
            </w:r>
          </w:p>
          <w:p>
            <w:pPr>
              <w:pStyle w:val="null3"/>
              <w:ind w:firstLine="420"/>
              <w:jc w:val="both"/>
            </w:pPr>
            <w:r>
              <w:rPr>
                <w:rFonts w:ascii="仿宋_GB2312" w:hAnsi="仿宋_GB2312" w:cs="仿宋_GB2312" w:eastAsia="仿宋_GB2312"/>
                <w:sz w:val="21"/>
              </w:rPr>
              <w:t>1、技术要求：</w:t>
            </w:r>
            <w:r>
              <w:rPr>
                <w:rFonts w:ascii="仿宋_GB2312" w:hAnsi="仿宋_GB2312" w:cs="仿宋_GB2312" w:eastAsia="仿宋_GB2312"/>
              </w:rPr>
              <w:t>综合运用</w:t>
            </w:r>
            <w:r>
              <w:rPr>
                <w:rFonts w:ascii="仿宋_GB2312" w:hAnsi="仿宋_GB2312" w:cs="仿宋_GB2312" w:eastAsia="仿宋_GB2312"/>
                <w:sz w:val="21"/>
              </w:rPr>
              <w:t>高分辨率卫星遥感、无人机航空遥感及现场实地调查等多元化技术手，对现有水土流失动态监测成果进行本地化优化与精细化处理</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2、成果要求：</w:t>
            </w:r>
            <w:r>
              <w:rPr>
                <w:rFonts w:ascii="仿宋_GB2312" w:hAnsi="仿宋_GB2312" w:cs="仿宋_GB2312" w:eastAsia="仿宋_GB2312"/>
                <w:sz w:val="21"/>
              </w:rPr>
              <w:t>形成</w:t>
            </w:r>
            <w:r>
              <w:rPr>
                <w:rFonts w:ascii="仿宋_GB2312" w:hAnsi="仿宋_GB2312" w:cs="仿宋_GB2312" w:eastAsia="仿宋_GB2312"/>
                <w:sz w:val="21"/>
              </w:rPr>
              <w:t>水土流失面积及重点治理区域矢量数据，典型区域水土</w:t>
            </w:r>
            <w:r>
              <w:rPr>
                <w:rFonts w:ascii="仿宋_GB2312" w:hAnsi="仿宋_GB2312" w:cs="仿宋_GB2312" w:eastAsia="仿宋_GB2312"/>
                <w:sz w:val="21"/>
              </w:rPr>
              <w:t>保持措施布局建议，编制</w:t>
            </w:r>
            <w:r>
              <w:rPr>
                <w:rFonts w:ascii="仿宋_GB2312" w:hAnsi="仿宋_GB2312" w:cs="仿宋_GB2312" w:eastAsia="仿宋_GB2312"/>
                <w:sz w:val="21"/>
              </w:rPr>
              <w:t>西安市水土流失治理精准监测报告。</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、服务标准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资料完整真实、有效，精度符合技术规范，技术路线合理、方法科学、过程合规</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       2、</w:t>
            </w:r>
            <w:r>
              <w:rPr>
                <w:rFonts w:ascii="仿宋_GB2312" w:hAnsi="仿宋_GB2312" w:cs="仿宋_GB2312" w:eastAsia="仿宋_GB2312"/>
                <w:sz w:val="21"/>
              </w:rPr>
              <w:t>成果符合技术规定，结论可靠、建议可行，</w:t>
            </w:r>
            <w:r>
              <w:rPr>
                <w:rFonts w:ascii="仿宋_GB2312" w:hAnsi="仿宋_GB2312" w:cs="仿宋_GB2312" w:eastAsia="仿宋_GB2312"/>
                <w:sz w:val="21"/>
              </w:rPr>
              <w:t>通过项目业主及主管部门审核，</w:t>
            </w:r>
            <w:r>
              <w:rPr>
                <w:rFonts w:ascii="仿宋_GB2312" w:hAnsi="仿宋_GB2312" w:cs="仿宋_GB2312" w:eastAsia="仿宋_GB2312"/>
                <w:sz w:val="21"/>
              </w:rPr>
              <w:t>为下一步水土流失精准治理与科学规划提供有力支撑</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自合同签订之日起至240日历天提交成果资料。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要求：在本项目数据采集任务完成后，经自检合格后，乙方向甲方提交项目成果和监测过程资料在内的所有材料，经甲方确认材料齐全、符合相关要求由甲方组织验收。（2）验收方法：乙方提交相关资料、提出验收申请，经甲方初步审核且达到验收条件，由甲方组织、聘请专家进行项目验收。（3）如通过验收，乙方应自通过之日起20日内向甲方提交项目全部成果及相关材料。（4）如未通过验收，由此给甲方带来的损失由乙方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提交成果后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交的成果必须符合本合同的相关规定，未达到要求的，应按合同标的总金额百分之十向甲方支付违约金，经甲方要求整改后的30日内或甲方确定的其他期限内仍未达到要求，进而导致无法通过项目验收的，甲方有权解除合同，乙方还应同时返还甲方已支付的款项。 2.乙方如未能按期提交项目成果，每延迟一日应按合同标的总金额千分之一向甲方支付迟延违约金。违约金首先从甲方未支付的项目款项中扣除。乙方逾期超过30日的，甲方有权要求解除合同，并有权要求乙方支付本合同总金额的20%违约金和承担甲方因此遭受的其他直接损失。 3.乙方未按合同要求履行义务，且经甲方要求仍拒不改正的，应按合同标的总金额百分之十向甲方支付违约金。如拒不改正的部分或程度等导致本合同目的无法实现的，甲方有权解除合同，乙方还应同时返还甲方已支付的款项。 4.争议解决和补充协议 因本合同产生或与本合同有关的任何争议，甲乙双方应协商解决，协商不成的依法向甲方所在地人民法院起诉。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 项目电子化交易的通知》“陕西省财政厅陕财办采〔2022〕9号文”《政府采购项目电子化交易规则》等文件的要求，做好人 员配备、设施设备、系统操作的相应准备，熟悉并正确实施相关操作流程，承担由于操作或其他因素造成的不利后果。（二） 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储存）至代理机构。 线上电子响应文件与纸质响应文件一致;若正本和副本不符，以正本为准。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提供以下资料：(1)具有独立承担民事责任能力的法人、其他组织或自然人，并出具合法有效的营业执照或事业单位法人证书等国家规定的相关证明，自然人参与的提供其身份证明； (2)提供磋商截止日前一年内任意一个月的纳税证明或完税证明（增值税、印花税、城市维护建设费、企业所得税等一种或多种税种），依法免税的单位提供相关证明材料； (3)提供磋商截止日前一年内任意一个月的社保资金交纳证明，依法不需要缴纳社保资金的单位提供相关证明材料； (4)提供具有履行合同所必需的设备和专业技术能力的承诺； (5)提供参加政府采购活动前三年内在经营活动中没有重大违法记录的书面声明。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若审计报告未赋码视为无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供应商应授权合法的人员参加磋商，其中法定代表人直接参加的，须出具法定代表人身份证明，并与营业执照上信息一致。法定代表人授权代表参加的，须出具法定代表人授权委托书。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控股关系说明</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除单一来源采购项目外，为采购项目提供整体设计、规范编制或者项目管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项目总体方案</w:t>
            </w:r>
          </w:p>
        </w:tc>
        <w:tc>
          <w:tcPr>
            <w:tcW w:type="dxa" w:w="2492"/>
          </w:tcPr>
          <w:p>
            <w:pPr>
              <w:pStyle w:val="null3"/>
            </w:pPr>
            <w:r>
              <w:rPr>
                <w:rFonts w:ascii="仿宋_GB2312" w:hAnsi="仿宋_GB2312" w:cs="仿宋_GB2312" w:eastAsia="仿宋_GB2312"/>
              </w:rPr>
              <w:t>供应商提供本项目详细总体方案（包含但不限于：对项目基本情况的了解（5分）、项目技术方案（20分）、项目推进计划（5分）、项目人员安排（5分）、项目管理措施（5分）。评分依据： 1.项目基本情况（5分）。对项目基本信息描述完整准确，数据详实，符合采购需求，得5分；描述基本完整，与实际有轻微偏差，基本满足采购需求，得3分；基本信息不完整得1分。 2.项目技术方案（20分）。方案完整详实，涵盖全流程技术要点，技术路线科学、贴合实际，能解决实施重难点，落地性强，匹配采购核心需求，得20分；方案内容不完整，核心技术要点不明确，技术路线较不合理，落地性较差，未完全满足采购需求，得10分；未提供技术方案，或逻辑混乱、内容空洞，技术路线不可行，无法支撑项目落地，不得分。 3.项目推进计划（5分）。推进计划完整详实，阶段划分明确，时间节点精准，有完善的管控措施，符合采购需求，保障项目按期落地，得5分；推进计划基本完整，有主要实施阶段，时间节点较模糊、管控措施不完善，与采购需求有偏差，难以保障项目按期完成，得2分；未提供推进计划，或计划逻辑混乱、节点不合理，不得分。 4.项目人员安排（5分）。人员配置完整，核心岗位齐全，分工明确，人员资质、经验完全符合要求，团队协作能力强，满足采购需求，支撑项目高效实施，得5分；人员配置不完整，核心岗位有缺失，分工不明确，人员资质、经验部分不符，团队结构不合理，难以支撑项目正常实施，得2分；未提供人员安排，或配置严重不合理，不得分。 5.项目管理措施（5分）。管理措施完整详实，流程清晰、能有效防范各类风险，保障项目质量及效率，符合采购需求，得5分；管理措施内容缺失，流程模糊，难以保障项目质量及效率，得2分；未提供管理措施，或措施空洞不合理，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供应商提供针对本项目质量保障承诺（包含但不限于：项目服务质量（6分）、质量保证措施（6分）、质量管理体系（6分）） 评审依据：每提供1项且内容全面、完全满足项目需求得6分；其中每项内容或提供材料有缺陷（缺陷是指：表述不清、不切实际、内容空泛等）扣1分，扣完为止；内容或提供材料有缺失（缺失是指：表述无、或表述错误、凭空编造等）的得0分；共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项目组织机构及职责分工</w:t>
            </w:r>
          </w:p>
        </w:tc>
        <w:tc>
          <w:tcPr>
            <w:tcW w:type="dxa" w:w="2492"/>
          </w:tcPr>
          <w:p>
            <w:pPr>
              <w:pStyle w:val="null3"/>
            </w:pPr>
            <w:r>
              <w:rPr>
                <w:rFonts w:ascii="仿宋_GB2312" w:hAnsi="仿宋_GB2312" w:cs="仿宋_GB2312" w:eastAsia="仿宋_GB2312"/>
              </w:rPr>
              <w:t>根据供应商提供的组织机构设置完整、结构合理、职能配置明确、分工清晰进行综合评审。 评审依据：内容全面、完全满足项目需求得6分；其中每项内容或提供材料有缺陷（缺陷是指：表述不清、不切实际、内容空泛等）扣1分，扣完为止；内容或提供材料有缺失（缺失是指：表述无、或表述错误、凭空编造等）的得0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根据供应商的团队人员配备情况进行评审： 1、拟派项目负责人具备高级及以上资格得4分，低于高级资格不得分。 2、拟派项目组成员（除项目负责人外）水利工程或水土保持与荒漠化防治或生态学或土壤学或地图学与地理信息系统或遥感等专业高级及以上职称每提供1名得2分，最高得10分。 备注：须提供身份证、职称证书、近半年社保证明复印件或扫描件，未提供不得分。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承担过类似项目业绩（即区域水土流失动态监测项目），每提供1份类似项目业绩计3分，不提供不得分，满分12分（业绩以业绩以中标通知书或合同首页、标的及金额所在页、签字盖章页的合同复印（扫描）件为准，公章签署清晰可见）。所提供的业绩证明材料清晰可辨，否则评标委员会可对所提供的业绩证明材料视为不合格业绩，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采用低价优先法计算，即实质性满足磋商文件要求且最后报价最低的报价为评审基准价，其价格分为满分10分。 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详见附件：合同条款及合同文件格式.docx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