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69206">
      <w:pPr>
        <w:tabs>
          <w:tab w:val="left" w:pos="1507"/>
        </w:tabs>
        <w:spacing w:before="49" w:line="360" w:lineRule="auto"/>
        <w:jc w:val="center"/>
        <w:rPr>
          <w:b/>
          <w:sz w:val="36"/>
        </w:rPr>
      </w:pPr>
      <w:r>
        <w:rPr>
          <w:rFonts w:hint="eastAsia"/>
          <w:b/>
          <w:sz w:val="36"/>
        </w:rPr>
        <w:t>合同条款及合同文件格式</w:t>
      </w:r>
    </w:p>
    <w:p w14:paraId="498B8B50">
      <w:pPr>
        <w:spacing w:before="156" w:beforeLines="50" w:after="156" w:afterLines="50" w:line="360" w:lineRule="auto"/>
        <w:jc w:val="center"/>
        <w:rPr>
          <w:b/>
          <w:sz w:val="24"/>
          <w:szCs w:val="24"/>
        </w:rPr>
      </w:pPr>
      <w:r>
        <w:rPr>
          <w:rFonts w:hint="eastAsia"/>
          <w:b/>
          <w:sz w:val="24"/>
          <w:szCs w:val="24"/>
        </w:rPr>
        <w:t>（</w:t>
      </w:r>
      <w:r>
        <w:rPr>
          <w:rFonts w:hint="eastAsia"/>
          <w:b/>
          <w:sz w:val="24"/>
          <w:szCs w:val="24"/>
          <w:lang w:val="en-US"/>
        </w:rPr>
        <w:t>仅供参考，具体以实际签订合同为准</w:t>
      </w:r>
      <w:r>
        <w:rPr>
          <w:rFonts w:hint="eastAsia"/>
          <w:b/>
          <w:sz w:val="24"/>
          <w:szCs w:val="24"/>
        </w:rPr>
        <w:t>）</w:t>
      </w:r>
    </w:p>
    <w:p w14:paraId="374CC2A9">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w:t>
      </w:r>
      <w:r>
        <w:rPr>
          <w:rFonts w:hint="eastAsia" w:asciiTheme="minorEastAsia" w:hAnsiTheme="minorEastAsia" w:eastAsiaTheme="minorEastAsia" w:cstheme="minorEastAsia"/>
          <w:sz w:val="24"/>
          <w:szCs w:val="24"/>
          <w:highlight w:val="none"/>
        </w:rPr>
        <w:t>共和国民法典》</w:t>
      </w:r>
      <w:r>
        <w:rPr>
          <w:rFonts w:hint="eastAsia" w:asciiTheme="minorEastAsia" w:hAnsiTheme="minorEastAsia" w:eastAsiaTheme="minorEastAsia" w:cstheme="minorEastAsia"/>
          <w:sz w:val="24"/>
          <w:szCs w:val="24"/>
        </w:rPr>
        <w:t>《中华人民共和国政府采购法》《政府采购竞争性磋商方式管理暂行办法》等</w:t>
      </w:r>
      <w:r>
        <w:rPr>
          <w:rFonts w:hint="eastAsia" w:asciiTheme="minorEastAsia" w:hAnsiTheme="minorEastAsia" w:eastAsiaTheme="minorEastAsia" w:cstheme="minorEastAsia"/>
          <w:sz w:val="24"/>
          <w:szCs w:val="24"/>
          <w:lang w:val="en-US"/>
        </w:rPr>
        <w:t>法</w:t>
      </w:r>
      <w:r>
        <w:rPr>
          <w:rFonts w:hint="eastAsia" w:asciiTheme="minorEastAsia" w:hAnsiTheme="minorEastAsia" w:eastAsiaTheme="minorEastAsia" w:cstheme="minorEastAsia"/>
          <w:sz w:val="24"/>
          <w:szCs w:val="24"/>
        </w:rPr>
        <w:t>律、规定，按照竞争性磋商文件（以下简称“磋商文件”）、竞争性磋商响应文件（以下简称“响应文件”）规定条款和成交供</w:t>
      </w:r>
      <w:r>
        <w:rPr>
          <w:rFonts w:hint="eastAsia" w:asciiTheme="minorEastAsia" w:hAnsiTheme="minorEastAsia" w:eastAsiaTheme="minorEastAsia" w:cstheme="minorEastAsia"/>
          <w:sz w:val="24"/>
          <w:szCs w:val="24"/>
          <w:lang w:val="en-US"/>
        </w:rPr>
        <w:t>应商</w:t>
      </w:r>
      <w:r>
        <w:rPr>
          <w:rFonts w:hint="eastAsia" w:asciiTheme="minorEastAsia" w:hAnsiTheme="minorEastAsia" w:eastAsiaTheme="minorEastAsia" w:cstheme="minorEastAsia"/>
          <w:sz w:val="24"/>
          <w:szCs w:val="24"/>
        </w:rPr>
        <w:t>的承诺、甲乙双方签订本</w:t>
      </w:r>
      <w:r>
        <w:rPr>
          <w:rFonts w:hint="eastAsia" w:asciiTheme="minorEastAsia" w:hAnsiTheme="minorEastAsia" w:eastAsiaTheme="minorEastAsia" w:cstheme="minorEastAsia"/>
          <w:sz w:val="24"/>
          <w:szCs w:val="24"/>
          <w:lang w:val="en-US"/>
        </w:rPr>
        <w:t>服务</w:t>
      </w:r>
      <w:r>
        <w:rPr>
          <w:rFonts w:hint="eastAsia" w:asciiTheme="minorEastAsia" w:hAnsiTheme="minorEastAsia" w:eastAsiaTheme="minorEastAsia" w:cstheme="minorEastAsia"/>
          <w:sz w:val="24"/>
          <w:szCs w:val="24"/>
        </w:rPr>
        <w:t>合同。</w:t>
      </w:r>
    </w:p>
    <w:p w14:paraId="1C6ED9CA">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第一条 合同内容及合同金额</w:t>
      </w:r>
    </w:p>
    <w:p w14:paraId="6240320D">
      <w:pPr>
        <w:adjustRightInd w:val="0"/>
        <w:snapToGrid w:val="0"/>
        <w:spacing w:line="360" w:lineRule="auto"/>
        <w:ind w:firstLine="480" w:firstLineChars="200"/>
        <w:rPr>
          <w:rFonts w:asciiTheme="minorEastAsia" w:hAnsiTheme="minorEastAsia" w:eastAsiaTheme="minorEastAsia" w:cstheme="minorEastAsia"/>
          <w:sz w:val="24"/>
          <w:szCs w:val="24"/>
          <w:highlight w:val="yellow"/>
          <w:u w:val="single"/>
          <w:lang w:val="en-US"/>
        </w:rPr>
      </w:pPr>
      <w:r>
        <w:rPr>
          <w:rFonts w:hint="eastAsia" w:asciiTheme="minorEastAsia" w:hAnsiTheme="minorEastAsia" w:eastAsiaTheme="minorEastAsia" w:cstheme="minorEastAsia"/>
          <w:sz w:val="24"/>
          <w:szCs w:val="24"/>
        </w:rPr>
        <w:t>1.合同内容：</w:t>
      </w:r>
      <w:r>
        <w:rPr>
          <w:rFonts w:hint="eastAsia" w:asciiTheme="minorEastAsia" w:hAnsiTheme="minorEastAsia" w:eastAsiaTheme="minorEastAsia" w:cstheme="minorEastAsia"/>
          <w:sz w:val="24"/>
          <w:szCs w:val="24"/>
          <w:u w:val="single"/>
          <w:lang w:val="en-US"/>
        </w:rPr>
        <w:t>基于</w:t>
      </w:r>
      <w:r>
        <w:rPr>
          <w:rFonts w:asciiTheme="minorEastAsia" w:hAnsiTheme="minorEastAsia" w:eastAsiaTheme="minorEastAsia" w:cstheme="minorEastAsia"/>
          <w:sz w:val="24"/>
          <w:szCs w:val="24"/>
          <w:u w:val="single"/>
          <w:lang w:val="en-US"/>
        </w:rPr>
        <w:t>2025年度</w:t>
      </w:r>
      <w:r>
        <w:rPr>
          <w:rFonts w:hint="eastAsia" w:asciiTheme="minorEastAsia" w:hAnsiTheme="minorEastAsia" w:eastAsiaTheme="minorEastAsia" w:cstheme="minorEastAsia"/>
          <w:sz w:val="24"/>
          <w:szCs w:val="24"/>
          <w:u w:val="single"/>
          <w:lang w:val="en-US"/>
        </w:rPr>
        <w:t>陕西省</w:t>
      </w:r>
      <w:r>
        <w:rPr>
          <w:rFonts w:asciiTheme="minorEastAsia" w:hAnsiTheme="minorEastAsia" w:eastAsiaTheme="minorEastAsia" w:cstheme="minorEastAsia"/>
          <w:sz w:val="24"/>
          <w:szCs w:val="24"/>
          <w:u w:val="single"/>
          <w:lang w:val="en-US"/>
        </w:rPr>
        <w:t>水土流失动态监测成果，综合运用高分辨率卫星遥感影像解译、外业实地核查等技术手段，结合优化后的地形、植被等关键因子，更新水土流失现状计算参数，采用空间叠加分析、聚类分析与现场调查相结合的方式，科学划定全市水土流失矢量图斑，摸清西安市水土流失现状及主要成因、明确水土流失精准治理区域；提出水土流失分阶段分区域治理建议，并选取典型区域提出水土保持措施布局。为西安市水土流失精准治理与科学规划提供数据支撑和技术依据</w:t>
      </w:r>
      <w:r>
        <w:rPr>
          <w:rFonts w:hint="eastAsia" w:asciiTheme="minorEastAsia" w:hAnsiTheme="minorEastAsia" w:eastAsiaTheme="minorEastAsia" w:cstheme="minorEastAsia"/>
          <w:sz w:val="24"/>
          <w:szCs w:val="24"/>
          <w:u w:val="single"/>
          <w:lang w:val="en-US"/>
        </w:rPr>
        <w:t>。</w:t>
      </w:r>
    </w:p>
    <w:p w14:paraId="1932B0BF">
      <w:pPr>
        <w:adjustRightInd w:val="0"/>
        <w:snapToGrid w:val="0"/>
        <w:spacing w:line="360" w:lineRule="auto"/>
        <w:ind w:firstLine="482"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
          <w:bCs/>
          <w:sz w:val="24"/>
          <w:szCs w:val="24"/>
        </w:rPr>
        <w:t>2.合同金额：</w:t>
      </w:r>
      <w:r>
        <w:rPr>
          <w:rFonts w:hint="eastAsia" w:asciiTheme="minorEastAsia" w:hAnsiTheme="minorEastAsia" w:eastAsiaTheme="minorEastAsia" w:cstheme="minorEastAsia"/>
          <w:b/>
          <w:bCs/>
          <w:sz w:val="24"/>
          <w:szCs w:val="24"/>
          <w:u w:val="single"/>
        </w:rPr>
        <w:t xml:space="preserve"> </w:t>
      </w:r>
      <w:r>
        <w:rPr>
          <w:rFonts w:hint="eastAsia" w:asciiTheme="minorEastAsia" w:hAnsiTheme="minorEastAsia" w:eastAsiaTheme="minorEastAsia" w:cstheme="minorEastAsia"/>
          <w:b/>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人民币（大写）（¥</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w:t>
      </w:r>
    </w:p>
    <w:p w14:paraId="2B5AD77E">
      <w:pPr>
        <w:adjustRightInd w:val="0"/>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rPr>
        <w:t xml:space="preserve">2.1 </w:t>
      </w:r>
      <w:r>
        <w:rPr>
          <w:rFonts w:hint="eastAsia" w:asciiTheme="minorEastAsia" w:hAnsiTheme="minorEastAsia" w:eastAsiaTheme="minorEastAsia" w:cstheme="minorEastAsia"/>
          <w:bCs/>
          <w:sz w:val="24"/>
          <w:szCs w:val="24"/>
        </w:rPr>
        <w:t>合同总价是指为本次服务工作所需的全部费用。</w:t>
      </w:r>
    </w:p>
    <w:p w14:paraId="54888915">
      <w:pPr>
        <w:adjustRightInd w:val="0"/>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rPr>
        <w:t xml:space="preserve">2.2 </w:t>
      </w:r>
      <w:r>
        <w:rPr>
          <w:rFonts w:hint="eastAsia" w:asciiTheme="minorEastAsia" w:hAnsiTheme="minorEastAsia" w:eastAsiaTheme="minorEastAsia" w:cstheme="minorEastAsia"/>
          <w:bCs/>
          <w:sz w:val="24"/>
          <w:szCs w:val="24"/>
        </w:rPr>
        <w:t>合同总价</w:t>
      </w:r>
      <w:r>
        <w:rPr>
          <w:rFonts w:hint="eastAsia" w:asciiTheme="minorEastAsia" w:hAnsiTheme="minorEastAsia" w:eastAsiaTheme="minorEastAsia" w:cstheme="minorEastAsia"/>
          <w:bCs/>
          <w:sz w:val="24"/>
          <w:szCs w:val="24"/>
          <w:lang w:val="en-US"/>
        </w:rPr>
        <w:t>为固定总价包干</w:t>
      </w:r>
      <w:r>
        <w:rPr>
          <w:rFonts w:hint="eastAsia" w:asciiTheme="minorEastAsia" w:hAnsiTheme="minorEastAsia" w:eastAsiaTheme="minorEastAsia" w:cstheme="minorEastAsia"/>
          <w:bCs/>
          <w:sz w:val="24"/>
          <w:szCs w:val="24"/>
        </w:rPr>
        <w:t>，不受市场价格变化因素的影响。</w:t>
      </w:r>
      <w:bookmarkStart w:id="0" w:name="_GoBack"/>
      <w:bookmarkEnd w:id="0"/>
    </w:p>
    <w:p w14:paraId="5FFA8D20">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第二条 服务期限</w:t>
      </w:r>
    </w:p>
    <w:p w14:paraId="56E6CAD8">
      <w:pPr>
        <w:adjustRightInd w:val="0"/>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服务期限为自合同签订</w:t>
      </w:r>
      <w:r>
        <w:rPr>
          <w:rFonts w:hint="eastAsia" w:asciiTheme="minorEastAsia" w:hAnsiTheme="minorEastAsia" w:eastAsiaTheme="minorEastAsia" w:cstheme="minorEastAsia"/>
          <w:bCs/>
          <w:sz w:val="24"/>
          <w:szCs w:val="24"/>
          <w:lang w:val="en-US"/>
        </w:rPr>
        <w:t>后</w:t>
      </w:r>
      <w:r>
        <w:rPr>
          <w:rFonts w:asciiTheme="minorEastAsia" w:hAnsiTheme="minorEastAsia" w:eastAsiaTheme="minorEastAsia" w:cstheme="minorEastAsia"/>
          <w:bCs/>
          <w:sz w:val="24"/>
          <w:szCs w:val="24"/>
          <w:u w:val="single"/>
          <w:lang w:val="en-US"/>
        </w:rPr>
        <w:t>240</w:t>
      </w:r>
      <w:r>
        <w:rPr>
          <w:rFonts w:hint="eastAsia" w:asciiTheme="minorEastAsia" w:hAnsiTheme="minorEastAsia" w:eastAsiaTheme="minorEastAsia" w:cstheme="minorEastAsia"/>
          <w:bCs/>
          <w:sz w:val="24"/>
          <w:szCs w:val="24"/>
          <w:lang w:val="en-US"/>
        </w:rPr>
        <w:t>日历天</w:t>
      </w:r>
      <w:r>
        <w:rPr>
          <w:rFonts w:hint="eastAsia" w:asciiTheme="minorEastAsia" w:hAnsiTheme="minorEastAsia" w:eastAsiaTheme="minorEastAsia" w:cstheme="minorEastAsia"/>
          <w:bCs/>
          <w:sz w:val="24"/>
          <w:szCs w:val="24"/>
        </w:rPr>
        <w:t>提交成果资料。（具体服务起止日期可根据合同签订时间相应顺延）。</w:t>
      </w:r>
    </w:p>
    <w:p w14:paraId="3BA2509B">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第三条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甲、乙双方的权利义务</w:t>
      </w:r>
    </w:p>
    <w:p w14:paraId="32652D31">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1、甲方的权利义务：</w:t>
      </w:r>
    </w:p>
    <w:p w14:paraId="50BA6CD1">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（1）乙方依照本协议交付的成果归甲方享有；</w:t>
      </w:r>
    </w:p>
    <w:p w14:paraId="6D4B453B">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（2）甲方应向乙方提供项目所需要的相关背景资料；</w:t>
      </w:r>
    </w:p>
    <w:p w14:paraId="018C09D4">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（3）甲方应及时、合理地接受乙方交付的成果；</w:t>
      </w:r>
    </w:p>
    <w:p w14:paraId="7521B34C">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（4）甲方应按照约定时间向乙方支付项目经费。</w:t>
      </w:r>
    </w:p>
    <w:p w14:paraId="4FEFE9E0">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2、乙方的权利义务</w:t>
      </w:r>
    </w:p>
    <w:p w14:paraId="3A5C655C">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（1）乙方应按照约定制定和实施工作计划；</w:t>
      </w:r>
    </w:p>
    <w:p w14:paraId="0AF62FD2">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（2）乙方应合理使用项目经费并按时完成项目，保证项目成果符合约定标准；</w:t>
      </w:r>
    </w:p>
    <w:p w14:paraId="125BB03E">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（3）乙方不得擅自将本协议项下的委托事项转委托；</w:t>
      </w:r>
    </w:p>
    <w:p w14:paraId="3C8661A4">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（4）在没有甲方事先书面批准的情况下，乙方不得泄露与本协议或在协议履行期间得知的与甲方有关的任何知识产权成果和保密信息；</w:t>
      </w:r>
    </w:p>
    <w:p w14:paraId="0A9E8DED">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（5）乙方应保证所提供服务在使用时不会侵犯任何第三方的专利权、商标权、工业设计权或其他权利</w:t>
      </w:r>
      <w:r>
        <w:rPr>
          <w:rFonts w:hint="eastAsia" w:asciiTheme="minorEastAsia" w:hAnsiTheme="minorEastAsia" w:eastAsiaTheme="minorEastAsia" w:cstheme="minorEastAsia"/>
          <w:sz w:val="24"/>
          <w:szCs w:val="24"/>
          <w:lang w:val="en-US"/>
        </w:rPr>
        <w:t>；</w:t>
      </w:r>
    </w:p>
    <w:p w14:paraId="4D9298F4">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（6）乙方应当自行根据中华人民共和国法律纳税。</w:t>
      </w:r>
    </w:p>
    <w:p w14:paraId="188902A1">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第四条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提交服务成果时间及地点：</w:t>
      </w:r>
    </w:p>
    <w:p w14:paraId="6957FA43">
      <w:pPr>
        <w:adjustRightInd w:val="0"/>
        <w:snapToGrid w:val="0"/>
        <w:spacing w:line="360" w:lineRule="auto"/>
        <w:ind w:firstLine="480" w:firstLineChars="200"/>
        <w:rPr>
          <w:rFonts w:asciiTheme="minorEastAsia" w:hAnsiTheme="minorEastAsia" w:eastAsiaTheme="minorEastAsia" w:cstheme="minorEastAsia"/>
          <w:sz w:val="24"/>
          <w:szCs w:val="24"/>
          <w:highlight w:val="yellow"/>
        </w:rPr>
      </w:pPr>
      <w:r>
        <w:rPr>
          <w:rFonts w:hint="eastAsia" w:asciiTheme="minorEastAsia" w:hAnsiTheme="minorEastAsia" w:eastAsiaTheme="minorEastAsia" w:cstheme="minorEastAsia"/>
          <w:sz w:val="24"/>
          <w:szCs w:val="24"/>
        </w:rPr>
        <w:t>（1）提交服务成果时间：合同签订后</w:t>
      </w:r>
      <w:r>
        <w:rPr>
          <w:rFonts w:asciiTheme="minorEastAsia" w:hAnsiTheme="minorEastAsia" w:eastAsiaTheme="minorEastAsia" w:cstheme="minorEastAsia"/>
          <w:sz w:val="24"/>
          <w:szCs w:val="24"/>
          <w:u w:val="single"/>
          <w:lang w:val="en-US"/>
        </w:rPr>
        <w:t>240</w:t>
      </w:r>
      <w:r>
        <w:rPr>
          <w:rFonts w:hint="eastAsia" w:asciiTheme="minorEastAsia" w:hAnsiTheme="minorEastAsia" w:eastAsiaTheme="minorEastAsia" w:cstheme="minorEastAsia"/>
          <w:sz w:val="24"/>
          <w:szCs w:val="24"/>
        </w:rPr>
        <w:t>日历天；</w:t>
      </w:r>
    </w:p>
    <w:p w14:paraId="6E20F0D6">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（2）提交服务成果地点：采购人指定地点。</w:t>
      </w:r>
    </w:p>
    <w:p w14:paraId="6722C3DC">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第五条 项目验收</w:t>
      </w:r>
    </w:p>
    <w:p w14:paraId="5739EB40">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甲方依据竞争性磋商文件规定及响应文件的服务承诺对项目进行验收。</w:t>
      </w:r>
    </w:p>
    <w:p w14:paraId="00CB3616">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第六条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服务要求</w:t>
      </w:r>
    </w:p>
    <w:p w14:paraId="00614EE0">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1.乙方应按照国家有关法律规定、响应文件和本合同所附的服务承诺，为甲方提供服务。</w:t>
      </w:r>
    </w:p>
    <w:p w14:paraId="0158EB17">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2.如在服务过程中发生质量问题，乙方在接到甲方通知后在响应文件承诺的时间内到达甲方现场处理。</w:t>
      </w:r>
    </w:p>
    <w:p w14:paraId="637F92C7">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3.在服务期内，乙方应对服务的质量及安全问题负责处理解决并承担一切费用。</w:t>
      </w:r>
    </w:p>
    <w:p w14:paraId="2AB6858E">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4.甲方如有其他要求双方另行协商。</w:t>
      </w:r>
    </w:p>
    <w:p w14:paraId="3BD8BA02">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rPr>
        <w:t>第</w:t>
      </w:r>
      <w:r>
        <w:rPr>
          <w:rFonts w:hint="eastAsia" w:asciiTheme="minorEastAsia" w:hAnsiTheme="minorEastAsia" w:eastAsiaTheme="minorEastAsia" w:cstheme="minorEastAsia"/>
          <w:b/>
          <w:sz w:val="24"/>
          <w:szCs w:val="24"/>
        </w:rPr>
        <w:t>七</w:t>
      </w:r>
      <w:r>
        <w:rPr>
          <w:rFonts w:hint="eastAsia" w:asciiTheme="minorEastAsia" w:hAnsiTheme="minorEastAsia" w:eastAsiaTheme="minorEastAsia" w:cstheme="minorEastAsia"/>
          <w:b/>
          <w:sz w:val="24"/>
          <w:szCs w:val="24"/>
          <w:lang w:val="en-US"/>
        </w:rPr>
        <w:t xml:space="preserve">条 </w:t>
      </w:r>
      <w:r>
        <w:rPr>
          <w:rFonts w:hint="eastAsia" w:asciiTheme="minorEastAsia" w:hAnsiTheme="minorEastAsia" w:eastAsiaTheme="minorEastAsia" w:cstheme="minorEastAsia"/>
          <w:b/>
          <w:sz w:val="24"/>
          <w:szCs w:val="24"/>
        </w:rPr>
        <w:t>成果归属和分享</w:t>
      </w:r>
    </w:p>
    <w:p w14:paraId="546E51CA">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1.成果归属：乙方在本协议项下完成的所有成果所有权和著作权归属于甲方。</w:t>
      </w:r>
    </w:p>
    <w:p w14:paraId="415CDAD6">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2.成果转让和使用：在没有甲方事前书面同意的情况下，乙方不得擅自转让协议项目产生的成果，不得在公开场合发表、公布以及使用。</w:t>
      </w:r>
    </w:p>
    <w:p w14:paraId="2E47867D">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w:t>
      </w:r>
      <w:r>
        <w:rPr>
          <w:rFonts w:hint="eastAsia" w:asciiTheme="minorEastAsia" w:hAnsiTheme="minorEastAsia" w:eastAsiaTheme="minorEastAsia" w:cstheme="minorEastAsia"/>
          <w:b/>
          <w:sz w:val="24"/>
          <w:szCs w:val="24"/>
          <w:lang w:val="en-US"/>
        </w:rPr>
        <w:t>八</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税费</w:t>
      </w:r>
    </w:p>
    <w:p w14:paraId="5D84D5A7">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本合同执行中相关的一切税费均由乙方负担。</w:t>
      </w:r>
    </w:p>
    <w:p w14:paraId="7831531A">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w:t>
      </w:r>
      <w:r>
        <w:rPr>
          <w:rFonts w:hint="eastAsia" w:asciiTheme="minorEastAsia" w:hAnsiTheme="minorEastAsia" w:eastAsiaTheme="minorEastAsia" w:cstheme="minorEastAsia"/>
          <w:b/>
          <w:sz w:val="24"/>
          <w:szCs w:val="24"/>
          <w:lang w:val="en-US"/>
        </w:rPr>
        <w:t>九</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付款方式</w:t>
      </w:r>
    </w:p>
    <w:p w14:paraId="7996C6DE">
      <w:pPr>
        <w:adjustRightInd w:val="0"/>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付款条件说明：合同签订后 ，达到付款条件起 30 日内，支付合同总金额的 60.00%。</w:t>
      </w:r>
    </w:p>
    <w:p w14:paraId="151499CD">
      <w:pPr>
        <w:adjustRightInd w:val="0"/>
        <w:snapToGrid w:val="0"/>
        <w:spacing w:line="360" w:lineRule="auto"/>
        <w:ind w:firstLine="480" w:firstLineChars="200"/>
        <w:rPr>
          <w:rFonts w:asciiTheme="minorEastAsia" w:hAnsiTheme="minorEastAsia" w:eastAsiaTheme="minorEastAsia" w:cstheme="minorEastAsia"/>
          <w:bCs/>
          <w:sz w:val="24"/>
          <w:szCs w:val="24"/>
          <w:highlight w:val="yellow"/>
        </w:rPr>
      </w:pPr>
      <w:r>
        <w:rPr>
          <w:rFonts w:hint="eastAsia" w:asciiTheme="minorEastAsia" w:hAnsiTheme="minorEastAsia" w:eastAsiaTheme="minorEastAsia" w:cstheme="minorEastAsia"/>
          <w:bCs/>
          <w:sz w:val="24"/>
          <w:szCs w:val="24"/>
        </w:rPr>
        <w:t>付款条件说明：提交成果后 ，达到付款条件起 30 日内，支付合同总金额的 40.00%。</w:t>
      </w:r>
    </w:p>
    <w:p w14:paraId="3DFEA3CE">
      <w:pPr>
        <w:adjustRightInd w:val="0"/>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支付方式：银行转账。</w:t>
      </w:r>
    </w:p>
    <w:p w14:paraId="06E3C4CD">
      <w:pPr>
        <w:adjustRightInd w:val="0"/>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结算方式：乙方在接受付款前开具全额发票给甲方。</w:t>
      </w:r>
    </w:p>
    <w:p w14:paraId="4C78A995">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w:t>
      </w:r>
      <w:r>
        <w:rPr>
          <w:rFonts w:hint="eastAsia" w:asciiTheme="minorEastAsia" w:hAnsiTheme="minorEastAsia" w:eastAsiaTheme="minorEastAsia" w:cstheme="minorEastAsia"/>
          <w:b/>
          <w:sz w:val="24"/>
          <w:szCs w:val="24"/>
          <w:lang w:val="en-US"/>
        </w:rPr>
        <w:t>十</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违约责任</w:t>
      </w:r>
    </w:p>
    <w:p w14:paraId="391754AF">
      <w:pPr>
        <w:adjustRightIn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乙方提交的成果必须符合本合同的相关规定，未达到要求的，应按合同标的总金额百分之十向甲方支付违约金，经甲方要求整改后的30日内或甲方确定的其他期限内仍未达到要求，进而导致无法通过项目验收的，甲方有权解除合同，乙方还应同时返还甲方已支付的款项。</w:t>
      </w:r>
    </w:p>
    <w:p w14:paraId="3C1E22C1">
      <w:pPr>
        <w:adjustRightIn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乙方如未能按期提交项目成果，每延迟一日应按合同标的总金额千分之一向甲方支付迟延违约金。违约金首先从甲方未支付的项目款项中扣除。乙方逾期超过30日的，甲方有权要求解除合同，并有权要求乙方支付本合同总金额的20%违约金和承担甲方因此遭受的其他直接损失。</w:t>
      </w:r>
    </w:p>
    <w:p w14:paraId="5EF8DA31">
      <w:pPr>
        <w:adjustRightIn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乙方未按合同要求履行义务，且经甲方要求仍拒不改正的，应按合同标的总金额百分之十向甲方支付违约金。如拒不改正的部分或程度等导致本合同目的无法实现的，甲方有权解除合同，乙方还应同时返还甲方已支付的款项。</w:t>
      </w:r>
    </w:p>
    <w:p w14:paraId="0D01CE53">
      <w:pPr>
        <w:adjustRightIn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4.争议解决和补充协议 因本合同产生或与本合同有关的任何争议，甲乙双方应协商解决，协商不成的依法向甲方所在地人民法院起诉。</w:t>
      </w:r>
    </w:p>
    <w:p w14:paraId="6D56D3D3">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rPr>
        <w:t>一</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不可抗力事件处理</w:t>
      </w:r>
    </w:p>
    <w:p w14:paraId="38AFBB23">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1.在合同有效期内，乙方因不可抗力事件导致不能履行合同的，则合同履行期可在甲方同意的前提下予以延长，其延长期与不可抗力影响期相同，但不得影响合同的执行。</w:t>
      </w:r>
    </w:p>
    <w:p w14:paraId="4D0BA995">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2.不可抗力事件发生后，应在三日内通知甲方，并寄送有关权威机构出具的证明。</w:t>
      </w:r>
    </w:p>
    <w:p w14:paraId="4EF6504D">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3.不可抗力事件延续三十天以上，双方应通过友好协商，确定是否继续履行合同。</w:t>
      </w:r>
    </w:p>
    <w:p w14:paraId="7E6899CA">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rPr>
        <w:t>二</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合同争议解决</w:t>
      </w:r>
    </w:p>
    <w:p w14:paraId="46C9A4E5">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1.因服务质量问题发生争议的，应邀请国家认可的质量检测机构对服务质量进行鉴定。服务符合标准的，鉴定费由甲方承担；服务不符合标准的，鉴定费由乙方承担。</w:t>
      </w:r>
    </w:p>
    <w:p w14:paraId="67AECD52">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2.因履行本合同引起的或与本合同有关的争议，甲乙双方应首先通过友好协商解决，如果协商不能解决，可向项目所在地仲裁委员会申请仲裁。</w:t>
      </w:r>
    </w:p>
    <w:p w14:paraId="628B21C7">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3.诉讼期间，本合同继续履行。</w:t>
      </w:r>
    </w:p>
    <w:p w14:paraId="60F21D97">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rPr>
        <w:t>三</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合同生效及其它</w:t>
      </w:r>
    </w:p>
    <w:p w14:paraId="482DB610">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1.合同经甲乙双方法定代表人、负责人、自然人或相应的授权代表签字并加盖单位公章后生效。</w:t>
      </w:r>
    </w:p>
    <w:p w14:paraId="09A9B6AB">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2.本合同未尽事宜，遵照《</w:t>
      </w:r>
      <w:r>
        <w:rPr>
          <w:rFonts w:hint="eastAsia" w:asciiTheme="minorEastAsia" w:hAnsiTheme="minorEastAsia" w:eastAsiaTheme="minorEastAsia" w:cstheme="minorEastAsia"/>
          <w:color w:val="000000"/>
          <w:sz w:val="24"/>
          <w:szCs w:val="24"/>
          <w:lang w:val="en-US"/>
        </w:rPr>
        <w:t>民法典</w:t>
      </w:r>
      <w:r>
        <w:rPr>
          <w:rFonts w:hint="eastAsia" w:asciiTheme="minorEastAsia" w:hAnsiTheme="minorEastAsia" w:eastAsiaTheme="minorEastAsia" w:cstheme="minorEastAsia"/>
          <w:color w:val="000000"/>
          <w:sz w:val="24"/>
          <w:szCs w:val="24"/>
        </w:rPr>
        <w:t>》有关条文执行。</w:t>
      </w:r>
    </w:p>
    <w:p w14:paraId="1B0C10EF">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rPr>
        <w:t>四</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合同的变更、终止与转让</w:t>
      </w:r>
    </w:p>
    <w:p w14:paraId="47407DB1">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1.除《中华人民共和国政府采购法》第五十条规定的情形外，本合同一经签订，甲乙双方不得擅自变更，中止或终止。</w:t>
      </w:r>
    </w:p>
    <w:p w14:paraId="520AC87C">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2.乙方不得擅自转让其应履行的合同义务。</w:t>
      </w:r>
    </w:p>
    <w:p w14:paraId="2AAC5342">
      <w:pPr>
        <w:adjustRightInd w:val="0"/>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rPr>
        <w:t>五</w:t>
      </w:r>
      <w:r>
        <w:rPr>
          <w:rFonts w:hint="eastAsia" w:asciiTheme="minorEastAsia" w:hAnsiTheme="minorEastAsia" w:eastAsiaTheme="minorEastAsia" w:cstheme="minorEastAsia"/>
          <w:b/>
          <w:sz w:val="24"/>
          <w:szCs w:val="24"/>
        </w:rPr>
        <w:t>条</w:t>
      </w:r>
      <w:r>
        <w:rPr>
          <w:rFonts w:hint="eastAsia" w:asciiTheme="minorEastAsia" w:hAnsiTheme="minorEastAsia" w:eastAsiaTheme="minorEastAsia" w:cstheme="minorEastAsia"/>
          <w:b/>
          <w:sz w:val="24"/>
          <w:szCs w:val="24"/>
          <w:lang w:val="en-US"/>
        </w:rPr>
        <w:t xml:space="preserve"> </w:t>
      </w:r>
      <w:r>
        <w:rPr>
          <w:rFonts w:hint="eastAsia" w:asciiTheme="minorEastAsia" w:hAnsiTheme="minorEastAsia" w:eastAsiaTheme="minorEastAsia" w:cstheme="minorEastAsia"/>
          <w:b/>
          <w:sz w:val="24"/>
          <w:szCs w:val="24"/>
        </w:rPr>
        <w:t>签订本合同依据：</w:t>
      </w:r>
    </w:p>
    <w:p w14:paraId="619A93D9">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1.竞争性磋商文件；</w:t>
      </w:r>
    </w:p>
    <w:p w14:paraId="46635144">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2.乙方提供的响应（或应答）文件；</w:t>
      </w:r>
    </w:p>
    <w:p w14:paraId="0F46F1FC">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3.磋商中的磋商记录（协商后磋商报价表及协商后服务承诺书）；</w:t>
      </w:r>
    </w:p>
    <w:p w14:paraId="1579B38E">
      <w:pPr>
        <w:adjustRightInd w:val="0"/>
        <w:snapToGrid w:val="0"/>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4.成交通知书。</w:t>
      </w:r>
    </w:p>
    <w:p w14:paraId="6EE77089">
      <w:pPr>
        <w:adjustRightInd w:val="0"/>
        <w:snapToGrid w:val="0"/>
        <w:spacing w:line="360" w:lineRule="auto"/>
        <w:ind w:firstLine="482"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sz w:val="24"/>
          <w:szCs w:val="24"/>
        </w:rPr>
        <w:t>第十</w:t>
      </w:r>
      <w:r>
        <w:rPr>
          <w:rFonts w:hint="eastAsia" w:asciiTheme="minorEastAsia" w:hAnsiTheme="minorEastAsia" w:eastAsiaTheme="minorEastAsia" w:cstheme="minorEastAsia"/>
          <w:b/>
          <w:sz w:val="24"/>
          <w:szCs w:val="24"/>
          <w:lang w:val="en-US"/>
        </w:rPr>
        <w:t>六</w:t>
      </w:r>
      <w:r>
        <w:rPr>
          <w:rFonts w:hint="eastAsia" w:asciiTheme="minorEastAsia" w:hAnsiTheme="minorEastAsia" w:eastAsiaTheme="minorEastAsia" w:cstheme="minorEastAsia"/>
          <w:b/>
          <w:sz w:val="24"/>
          <w:szCs w:val="24"/>
        </w:rPr>
        <w:t xml:space="preserve">条  </w:t>
      </w:r>
      <w:r>
        <w:rPr>
          <w:rFonts w:hint="eastAsia" w:asciiTheme="minorEastAsia" w:hAnsiTheme="minorEastAsia" w:eastAsiaTheme="minorEastAsia" w:cstheme="minorEastAsia"/>
          <w:color w:val="000000"/>
          <w:sz w:val="24"/>
          <w:szCs w:val="24"/>
        </w:rPr>
        <w:t>本合同一式贰份，具有同等法律效力，甲乙双方各壹份。</w:t>
      </w:r>
    </w:p>
    <w:p w14:paraId="3D5FAFDE">
      <w:pPr>
        <w:adjustRightInd w:val="0"/>
        <w:spacing w:line="360" w:lineRule="auto"/>
        <w:ind w:firstLine="480" w:firstLineChars="200"/>
        <w:rPr>
          <w:rFonts w:cs="仿宋_GB2312"/>
          <w:bCs/>
          <w:sz w:val="24"/>
        </w:rPr>
      </w:pPr>
      <w:r>
        <w:rPr>
          <w:rFonts w:hint="eastAsia" w:asciiTheme="minorEastAsia" w:hAnsiTheme="minorEastAsia" w:eastAsiaTheme="minorEastAsia" w:cstheme="minorEastAsia"/>
          <w:bCs/>
          <w:sz w:val="24"/>
          <w:szCs w:val="24"/>
        </w:rPr>
        <w:t xml:space="preserve"> </w:t>
      </w:r>
    </w:p>
    <w:tbl>
      <w:tblPr>
        <w:tblStyle w:val="9"/>
        <w:tblW w:w="0" w:type="auto"/>
        <w:jc w:val="center"/>
        <w:tblLayout w:type="fixed"/>
        <w:tblCellMar>
          <w:top w:w="0" w:type="dxa"/>
          <w:left w:w="108" w:type="dxa"/>
          <w:bottom w:w="0" w:type="dxa"/>
          <w:right w:w="108" w:type="dxa"/>
        </w:tblCellMar>
      </w:tblPr>
      <w:tblGrid>
        <w:gridCol w:w="4201"/>
        <w:gridCol w:w="4202"/>
      </w:tblGrid>
      <w:tr w14:paraId="27E43C4F">
        <w:tblPrEx>
          <w:tblCellMar>
            <w:top w:w="0" w:type="dxa"/>
            <w:left w:w="108" w:type="dxa"/>
            <w:bottom w:w="0" w:type="dxa"/>
            <w:right w:w="108" w:type="dxa"/>
          </w:tblCellMar>
        </w:tblPrEx>
        <w:trPr>
          <w:trHeight w:val="680" w:hRule="exact"/>
          <w:jc w:val="center"/>
        </w:trPr>
        <w:tc>
          <w:tcPr>
            <w:tcW w:w="4201" w:type="dxa"/>
            <w:vAlign w:val="center"/>
          </w:tcPr>
          <w:p w14:paraId="29E1C203">
            <w:pPr>
              <w:rPr>
                <w:sz w:val="24"/>
                <w:szCs w:val="24"/>
              </w:rPr>
            </w:pPr>
            <w:r>
              <w:rPr>
                <w:rFonts w:hint="eastAsia"/>
                <w:sz w:val="24"/>
                <w:szCs w:val="24"/>
              </w:rPr>
              <w:t>甲  方</w:t>
            </w:r>
          </w:p>
        </w:tc>
        <w:tc>
          <w:tcPr>
            <w:tcW w:w="4202" w:type="dxa"/>
            <w:vAlign w:val="center"/>
          </w:tcPr>
          <w:p w14:paraId="6B3600DF">
            <w:pPr>
              <w:rPr>
                <w:sz w:val="24"/>
                <w:szCs w:val="24"/>
              </w:rPr>
            </w:pPr>
            <w:r>
              <w:rPr>
                <w:rFonts w:hint="eastAsia"/>
                <w:sz w:val="24"/>
                <w:szCs w:val="24"/>
              </w:rPr>
              <w:t>乙  方</w:t>
            </w:r>
          </w:p>
        </w:tc>
      </w:tr>
      <w:tr w14:paraId="6D2D2094">
        <w:tblPrEx>
          <w:tblCellMar>
            <w:top w:w="0" w:type="dxa"/>
            <w:left w:w="108" w:type="dxa"/>
            <w:bottom w:w="0" w:type="dxa"/>
            <w:right w:w="108" w:type="dxa"/>
          </w:tblCellMar>
        </w:tblPrEx>
        <w:trPr>
          <w:trHeight w:val="680" w:hRule="exact"/>
          <w:jc w:val="center"/>
        </w:trPr>
        <w:tc>
          <w:tcPr>
            <w:tcW w:w="4201" w:type="dxa"/>
            <w:vAlign w:val="center"/>
          </w:tcPr>
          <w:p w14:paraId="56DE34C3">
            <w:pPr>
              <w:rPr>
                <w:sz w:val="24"/>
                <w:szCs w:val="24"/>
              </w:rPr>
            </w:pPr>
            <w:r>
              <w:rPr>
                <w:rFonts w:hint="eastAsia"/>
                <w:sz w:val="24"/>
                <w:szCs w:val="24"/>
              </w:rPr>
              <w:t>（盖章）</w:t>
            </w:r>
          </w:p>
        </w:tc>
        <w:tc>
          <w:tcPr>
            <w:tcW w:w="4202" w:type="dxa"/>
            <w:vAlign w:val="center"/>
          </w:tcPr>
          <w:p w14:paraId="24D69792">
            <w:pPr>
              <w:rPr>
                <w:sz w:val="24"/>
                <w:szCs w:val="24"/>
              </w:rPr>
            </w:pPr>
            <w:r>
              <w:rPr>
                <w:rFonts w:hint="eastAsia"/>
                <w:sz w:val="24"/>
                <w:szCs w:val="24"/>
              </w:rPr>
              <w:t>（盖章）</w:t>
            </w:r>
          </w:p>
        </w:tc>
      </w:tr>
      <w:tr w14:paraId="217A20F1">
        <w:tblPrEx>
          <w:tblCellMar>
            <w:top w:w="0" w:type="dxa"/>
            <w:left w:w="108" w:type="dxa"/>
            <w:bottom w:w="0" w:type="dxa"/>
            <w:right w:w="108" w:type="dxa"/>
          </w:tblCellMar>
        </w:tblPrEx>
        <w:trPr>
          <w:trHeight w:val="680" w:hRule="exact"/>
          <w:jc w:val="center"/>
        </w:trPr>
        <w:tc>
          <w:tcPr>
            <w:tcW w:w="4201" w:type="dxa"/>
            <w:vAlign w:val="center"/>
          </w:tcPr>
          <w:p w14:paraId="2F439A49">
            <w:pPr>
              <w:rPr>
                <w:sz w:val="24"/>
                <w:szCs w:val="24"/>
              </w:rPr>
            </w:pPr>
            <w:r>
              <w:rPr>
                <w:rFonts w:hint="eastAsia"/>
                <w:sz w:val="24"/>
                <w:szCs w:val="24"/>
              </w:rPr>
              <w:t xml:space="preserve">地址： </w:t>
            </w:r>
          </w:p>
        </w:tc>
        <w:tc>
          <w:tcPr>
            <w:tcW w:w="4202" w:type="dxa"/>
            <w:vAlign w:val="center"/>
          </w:tcPr>
          <w:p w14:paraId="54D2F8C3">
            <w:pPr>
              <w:rPr>
                <w:sz w:val="24"/>
                <w:szCs w:val="24"/>
              </w:rPr>
            </w:pPr>
            <w:r>
              <w:rPr>
                <w:rFonts w:hint="eastAsia"/>
                <w:sz w:val="24"/>
                <w:szCs w:val="24"/>
              </w:rPr>
              <w:t>地址：</w:t>
            </w:r>
          </w:p>
        </w:tc>
      </w:tr>
      <w:tr w14:paraId="3D3C1A09">
        <w:tblPrEx>
          <w:tblCellMar>
            <w:top w:w="0" w:type="dxa"/>
            <w:left w:w="108" w:type="dxa"/>
            <w:bottom w:w="0" w:type="dxa"/>
            <w:right w:w="108" w:type="dxa"/>
          </w:tblCellMar>
        </w:tblPrEx>
        <w:trPr>
          <w:trHeight w:val="680" w:hRule="exact"/>
          <w:jc w:val="center"/>
        </w:trPr>
        <w:tc>
          <w:tcPr>
            <w:tcW w:w="4201" w:type="dxa"/>
            <w:vAlign w:val="center"/>
          </w:tcPr>
          <w:p w14:paraId="11996F1C">
            <w:pPr>
              <w:rPr>
                <w:sz w:val="24"/>
                <w:szCs w:val="24"/>
              </w:rPr>
            </w:pPr>
            <w:r>
              <w:rPr>
                <w:rFonts w:hint="eastAsia"/>
                <w:sz w:val="24"/>
                <w:szCs w:val="24"/>
              </w:rPr>
              <w:t>邮编：</w:t>
            </w:r>
          </w:p>
        </w:tc>
        <w:tc>
          <w:tcPr>
            <w:tcW w:w="4202" w:type="dxa"/>
            <w:vAlign w:val="center"/>
          </w:tcPr>
          <w:p w14:paraId="48D8EF54">
            <w:pPr>
              <w:rPr>
                <w:sz w:val="24"/>
                <w:szCs w:val="24"/>
              </w:rPr>
            </w:pPr>
            <w:r>
              <w:rPr>
                <w:rFonts w:hint="eastAsia"/>
                <w:sz w:val="24"/>
                <w:szCs w:val="24"/>
              </w:rPr>
              <w:t>邮编：</w:t>
            </w:r>
          </w:p>
        </w:tc>
      </w:tr>
      <w:tr w14:paraId="4E3102F9">
        <w:tblPrEx>
          <w:tblCellMar>
            <w:top w:w="0" w:type="dxa"/>
            <w:left w:w="108" w:type="dxa"/>
            <w:bottom w:w="0" w:type="dxa"/>
            <w:right w:w="108" w:type="dxa"/>
          </w:tblCellMar>
        </w:tblPrEx>
        <w:trPr>
          <w:trHeight w:val="680" w:hRule="exact"/>
          <w:jc w:val="center"/>
        </w:trPr>
        <w:tc>
          <w:tcPr>
            <w:tcW w:w="4201" w:type="dxa"/>
            <w:vAlign w:val="center"/>
          </w:tcPr>
          <w:p w14:paraId="374F54DE">
            <w:pPr>
              <w:rPr>
                <w:sz w:val="24"/>
                <w:szCs w:val="24"/>
              </w:rPr>
            </w:pPr>
            <w:r>
              <w:rPr>
                <w:rFonts w:hint="eastAsia"/>
                <w:sz w:val="24"/>
                <w:szCs w:val="24"/>
              </w:rPr>
              <w:t xml:space="preserve">法定代表人： </w:t>
            </w:r>
          </w:p>
        </w:tc>
        <w:tc>
          <w:tcPr>
            <w:tcW w:w="4202" w:type="dxa"/>
            <w:vAlign w:val="center"/>
          </w:tcPr>
          <w:p w14:paraId="2A9C1896">
            <w:pPr>
              <w:rPr>
                <w:sz w:val="24"/>
                <w:szCs w:val="24"/>
              </w:rPr>
            </w:pPr>
            <w:r>
              <w:rPr>
                <w:rFonts w:hint="eastAsia"/>
                <w:sz w:val="24"/>
                <w:szCs w:val="24"/>
              </w:rPr>
              <w:t>法定代表人：</w:t>
            </w:r>
          </w:p>
        </w:tc>
      </w:tr>
      <w:tr w14:paraId="69D6F991">
        <w:tblPrEx>
          <w:tblCellMar>
            <w:top w:w="0" w:type="dxa"/>
            <w:left w:w="108" w:type="dxa"/>
            <w:bottom w:w="0" w:type="dxa"/>
            <w:right w:w="108" w:type="dxa"/>
          </w:tblCellMar>
        </w:tblPrEx>
        <w:trPr>
          <w:trHeight w:val="680" w:hRule="exact"/>
          <w:jc w:val="center"/>
        </w:trPr>
        <w:tc>
          <w:tcPr>
            <w:tcW w:w="4201" w:type="dxa"/>
            <w:vAlign w:val="center"/>
          </w:tcPr>
          <w:p w14:paraId="707E9C8E">
            <w:pPr>
              <w:rPr>
                <w:sz w:val="24"/>
                <w:szCs w:val="24"/>
              </w:rPr>
            </w:pPr>
            <w:r>
              <w:rPr>
                <w:rFonts w:hint="eastAsia"/>
                <w:sz w:val="24"/>
                <w:szCs w:val="24"/>
              </w:rPr>
              <w:t>被授权代表：</w:t>
            </w:r>
          </w:p>
        </w:tc>
        <w:tc>
          <w:tcPr>
            <w:tcW w:w="4202" w:type="dxa"/>
            <w:vAlign w:val="center"/>
          </w:tcPr>
          <w:p w14:paraId="7E5F7705">
            <w:pPr>
              <w:rPr>
                <w:sz w:val="24"/>
                <w:szCs w:val="24"/>
              </w:rPr>
            </w:pPr>
            <w:r>
              <w:rPr>
                <w:rFonts w:hint="eastAsia"/>
                <w:sz w:val="24"/>
                <w:szCs w:val="24"/>
              </w:rPr>
              <w:t>被授权代表：</w:t>
            </w:r>
          </w:p>
        </w:tc>
      </w:tr>
      <w:tr w14:paraId="2ECEE708">
        <w:tblPrEx>
          <w:tblCellMar>
            <w:top w:w="0" w:type="dxa"/>
            <w:left w:w="108" w:type="dxa"/>
            <w:bottom w:w="0" w:type="dxa"/>
            <w:right w:w="108" w:type="dxa"/>
          </w:tblCellMar>
        </w:tblPrEx>
        <w:trPr>
          <w:trHeight w:val="680" w:hRule="exact"/>
          <w:jc w:val="center"/>
        </w:trPr>
        <w:tc>
          <w:tcPr>
            <w:tcW w:w="4201" w:type="dxa"/>
            <w:vAlign w:val="center"/>
          </w:tcPr>
          <w:p w14:paraId="5E729730">
            <w:pPr>
              <w:rPr>
                <w:sz w:val="24"/>
                <w:szCs w:val="24"/>
              </w:rPr>
            </w:pPr>
            <w:r>
              <w:rPr>
                <w:rFonts w:hint="eastAsia"/>
                <w:sz w:val="24"/>
                <w:szCs w:val="24"/>
              </w:rPr>
              <w:t>电话：</w:t>
            </w:r>
          </w:p>
        </w:tc>
        <w:tc>
          <w:tcPr>
            <w:tcW w:w="4202" w:type="dxa"/>
            <w:vAlign w:val="center"/>
          </w:tcPr>
          <w:p w14:paraId="00EFC120">
            <w:pPr>
              <w:rPr>
                <w:sz w:val="24"/>
                <w:szCs w:val="24"/>
              </w:rPr>
            </w:pPr>
            <w:r>
              <w:rPr>
                <w:rFonts w:hint="eastAsia"/>
                <w:sz w:val="24"/>
                <w:szCs w:val="24"/>
              </w:rPr>
              <w:t>电话：</w:t>
            </w:r>
          </w:p>
        </w:tc>
      </w:tr>
      <w:tr w14:paraId="359DE3BD">
        <w:tblPrEx>
          <w:tblCellMar>
            <w:top w:w="0" w:type="dxa"/>
            <w:left w:w="108" w:type="dxa"/>
            <w:bottom w:w="0" w:type="dxa"/>
            <w:right w:w="108" w:type="dxa"/>
          </w:tblCellMar>
        </w:tblPrEx>
        <w:trPr>
          <w:trHeight w:val="680" w:hRule="exact"/>
          <w:jc w:val="center"/>
        </w:trPr>
        <w:tc>
          <w:tcPr>
            <w:tcW w:w="4201" w:type="dxa"/>
            <w:vAlign w:val="center"/>
          </w:tcPr>
          <w:p w14:paraId="7E8FA6CF">
            <w:pPr>
              <w:rPr>
                <w:sz w:val="24"/>
                <w:szCs w:val="24"/>
              </w:rPr>
            </w:pPr>
            <w:r>
              <w:rPr>
                <w:rFonts w:hint="eastAsia"/>
                <w:sz w:val="24"/>
                <w:szCs w:val="24"/>
              </w:rPr>
              <w:t>传真：</w:t>
            </w:r>
          </w:p>
        </w:tc>
        <w:tc>
          <w:tcPr>
            <w:tcW w:w="4202" w:type="dxa"/>
            <w:vAlign w:val="center"/>
          </w:tcPr>
          <w:p w14:paraId="2972E24F">
            <w:pPr>
              <w:rPr>
                <w:sz w:val="24"/>
                <w:szCs w:val="24"/>
              </w:rPr>
            </w:pPr>
            <w:r>
              <w:rPr>
                <w:rFonts w:hint="eastAsia"/>
                <w:sz w:val="24"/>
                <w:szCs w:val="24"/>
              </w:rPr>
              <w:t>传真：</w:t>
            </w:r>
          </w:p>
        </w:tc>
      </w:tr>
      <w:tr w14:paraId="20312D77">
        <w:tblPrEx>
          <w:tblCellMar>
            <w:top w:w="0" w:type="dxa"/>
            <w:left w:w="108" w:type="dxa"/>
            <w:bottom w:w="0" w:type="dxa"/>
            <w:right w:w="108" w:type="dxa"/>
          </w:tblCellMar>
        </w:tblPrEx>
        <w:trPr>
          <w:trHeight w:val="680" w:hRule="exact"/>
          <w:jc w:val="center"/>
        </w:trPr>
        <w:tc>
          <w:tcPr>
            <w:tcW w:w="4201" w:type="dxa"/>
            <w:vAlign w:val="center"/>
          </w:tcPr>
          <w:p w14:paraId="309687E3">
            <w:pPr>
              <w:rPr>
                <w:sz w:val="24"/>
                <w:szCs w:val="24"/>
              </w:rPr>
            </w:pPr>
            <w:r>
              <w:rPr>
                <w:rFonts w:hint="eastAsia"/>
                <w:sz w:val="24"/>
                <w:szCs w:val="24"/>
              </w:rPr>
              <w:t>开户银行：</w:t>
            </w:r>
          </w:p>
        </w:tc>
        <w:tc>
          <w:tcPr>
            <w:tcW w:w="4202" w:type="dxa"/>
            <w:vAlign w:val="center"/>
          </w:tcPr>
          <w:p w14:paraId="66D1C14F">
            <w:pPr>
              <w:rPr>
                <w:sz w:val="24"/>
                <w:szCs w:val="24"/>
              </w:rPr>
            </w:pPr>
            <w:r>
              <w:rPr>
                <w:rFonts w:hint="eastAsia"/>
                <w:sz w:val="24"/>
                <w:szCs w:val="24"/>
              </w:rPr>
              <w:t>开户银行：</w:t>
            </w:r>
          </w:p>
        </w:tc>
      </w:tr>
      <w:tr w14:paraId="2C69EAAA">
        <w:tblPrEx>
          <w:tblCellMar>
            <w:top w:w="0" w:type="dxa"/>
            <w:left w:w="108" w:type="dxa"/>
            <w:bottom w:w="0" w:type="dxa"/>
            <w:right w:w="108" w:type="dxa"/>
          </w:tblCellMar>
        </w:tblPrEx>
        <w:trPr>
          <w:trHeight w:val="680" w:hRule="exact"/>
          <w:jc w:val="center"/>
        </w:trPr>
        <w:tc>
          <w:tcPr>
            <w:tcW w:w="4201" w:type="dxa"/>
            <w:vAlign w:val="center"/>
          </w:tcPr>
          <w:p w14:paraId="22B7C977">
            <w:pPr>
              <w:rPr>
                <w:sz w:val="24"/>
                <w:szCs w:val="24"/>
              </w:rPr>
            </w:pPr>
            <w:r>
              <w:rPr>
                <w:rFonts w:hint="eastAsia"/>
                <w:sz w:val="24"/>
                <w:szCs w:val="24"/>
              </w:rPr>
              <w:t>日期：</w:t>
            </w:r>
          </w:p>
        </w:tc>
        <w:tc>
          <w:tcPr>
            <w:tcW w:w="4202" w:type="dxa"/>
            <w:vAlign w:val="center"/>
          </w:tcPr>
          <w:p w14:paraId="03AF37EF">
            <w:pPr>
              <w:rPr>
                <w:sz w:val="24"/>
                <w:szCs w:val="24"/>
              </w:rPr>
            </w:pPr>
            <w:r>
              <w:rPr>
                <w:rFonts w:hint="eastAsia"/>
                <w:sz w:val="24"/>
                <w:szCs w:val="24"/>
              </w:rPr>
              <w:t>日期：</w:t>
            </w:r>
          </w:p>
        </w:tc>
      </w:tr>
    </w:tbl>
    <w:p w14:paraId="45497B0A">
      <w:pPr>
        <w:kinsoku w:val="0"/>
        <w:spacing w:line="360" w:lineRule="auto"/>
        <w:outlineLvl w:val="0"/>
      </w:pPr>
    </w:p>
    <w:sectPr>
      <w:pgSz w:w="11906" w:h="16838"/>
      <w:pgMar w:top="1440" w:right="1417" w:bottom="1440"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D0678"/>
    <w:rsid w:val="000818FE"/>
    <w:rsid w:val="00165834"/>
    <w:rsid w:val="001A133D"/>
    <w:rsid w:val="00233D20"/>
    <w:rsid w:val="00592CF1"/>
    <w:rsid w:val="006C7EEE"/>
    <w:rsid w:val="006F2AC4"/>
    <w:rsid w:val="009B717E"/>
    <w:rsid w:val="00A640D9"/>
    <w:rsid w:val="00CF4A56"/>
    <w:rsid w:val="00D97F7B"/>
    <w:rsid w:val="166927AE"/>
    <w:rsid w:val="2E691F9F"/>
    <w:rsid w:val="4C8F0598"/>
    <w:rsid w:val="54AE6ADB"/>
    <w:rsid w:val="57FD0678"/>
    <w:rsid w:val="6AEF11A6"/>
    <w:rsid w:val="71224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1"/>
    <w:pPr>
      <w:spacing w:before="55"/>
      <w:ind w:left="240"/>
      <w:jc w:val="center"/>
      <w:outlineLvl w:val="1"/>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1"/>
    <w:rPr>
      <w:sz w:val="24"/>
      <w:szCs w:val="24"/>
    </w:rPr>
  </w:style>
  <w:style w:type="paragraph" w:styleId="4">
    <w:name w:val="Body Text Indent"/>
    <w:basedOn w:val="1"/>
    <w:qFormat/>
    <w:uiPriority w:val="0"/>
    <w:pPr>
      <w:ind w:firstLine="1197" w:firstLineChars="436"/>
    </w:pPr>
    <w:rPr>
      <w:sz w:val="28"/>
    </w:rPr>
  </w:style>
  <w:style w:type="paragraph" w:styleId="5">
    <w:name w:val="footer"/>
    <w:basedOn w:val="1"/>
    <w:link w:val="13"/>
    <w:uiPriority w:val="0"/>
    <w:pPr>
      <w:tabs>
        <w:tab w:val="center" w:pos="4153"/>
        <w:tab w:val="right" w:pos="8306"/>
      </w:tabs>
      <w:snapToGrid w:val="0"/>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3"/>
    <w:next w:val="8"/>
    <w:unhideWhenUsed/>
    <w:qFormat/>
    <w:uiPriority w:val="99"/>
    <w:pPr>
      <w:spacing w:beforeLines="50" w:afterLines="50" w:line="360" w:lineRule="auto"/>
      <w:ind w:firstLine="200" w:firstLineChars="200"/>
    </w:pPr>
    <w:rPr>
      <w:sz w:val="30"/>
    </w:rPr>
  </w:style>
  <w:style w:type="paragraph" w:styleId="8">
    <w:name w:val="Body Text First Indent 2"/>
    <w:basedOn w:val="4"/>
    <w:unhideWhenUsed/>
    <w:qFormat/>
    <w:uiPriority w:val="99"/>
    <w:pPr>
      <w:spacing w:after="120"/>
      <w:ind w:left="200" w:leftChars="200" w:firstLine="420"/>
    </w:pPr>
  </w:style>
  <w:style w:type="paragraph" w:customStyle="1" w:styleId="11">
    <w:name w:val="null3"/>
    <w:qFormat/>
    <w:uiPriority w:val="0"/>
    <w:rPr>
      <w:rFonts w:hint="eastAsia" w:ascii="Calibri" w:hAnsi="Calibri" w:eastAsia="宋体" w:cs="Times New Roman"/>
      <w:lang w:val="en-US" w:eastAsia="zh-Hans" w:bidi="ar-SA"/>
    </w:rPr>
  </w:style>
  <w:style w:type="character" w:customStyle="1" w:styleId="12">
    <w:name w:val="页眉 字符"/>
    <w:basedOn w:val="10"/>
    <w:link w:val="6"/>
    <w:uiPriority w:val="0"/>
    <w:rPr>
      <w:rFonts w:ascii="宋体" w:hAnsi="宋体" w:eastAsia="宋体" w:cs="宋体"/>
      <w:sz w:val="18"/>
      <w:szCs w:val="18"/>
      <w:lang w:val="zh-CN" w:bidi="zh-CN"/>
    </w:rPr>
  </w:style>
  <w:style w:type="character" w:customStyle="1" w:styleId="13">
    <w:name w:val="页脚 字符"/>
    <w:basedOn w:val="10"/>
    <w:link w:val="5"/>
    <w:uiPriority w:val="0"/>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2379</Words>
  <Characters>2442</Characters>
  <Lines>18</Lines>
  <Paragraphs>5</Paragraphs>
  <TotalTime>18</TotalTime>
  <ScaleCrop>false</ScaleCrop>
  <LinksUpToDate>false</LinksUpToDate>
  <CharactersWithSpaces>2479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2025-03-28T09:17:00Z</dcterms:created>
  <dc:creator>冯锟</dc:creator>
  <cp:lastModifiedBy>周周</cp:lastModifiedBy>
  <dcterms:modified xsi:type="dcterms:W3CDTF">2026-04-20T08:09:20Z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A357EB92B6CA43F1BFDD6912857554DF_13</vt:lpwstr>
  </property>
  <property fmtid="{D5CDD505-2E9C-101B-9397-08002B2CF9AE}" pid="4" name="KSOTemplateDocerSaveRecord">
    <vt:lpwstr>eyJoZGlkIjoiNGMwZDYxYmJkMWJjMDI0ZjA5MmExZDdmMzkzYTMzNjciLCJ1c2VySWQiOiI0MzgwODgxOTcifQ==</vt:lpwstr>
  </property>
</Properties>
</file>