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20B50">
      <w:pPr>
        <w:pStyle w:val="2"/>
        <w:numPr>
          <w:ilvl w:val="0"/>
          <w:numId w:val="0"/>
        </w:numPr>
        <w:spacing w:line="360" w:lineRule="auto"/>
        <w:rPr>
          <w:rFonts w:hint="eastAsia"/>
          <w:color w:val="auto"/>
          <w:highlight w:val="none"/>
        </w:rPr>
      </w:pPr>
      <w:bookmarkStart w:id="0" w:name="_GoBack"/>
      <w:r>
        <w:rPr>
          <w:rFonts w:hint="eastAsia" w:ascii="宋体" w:hAnsi="宋体" w:cs="宋体"/>
          <w:color w:val="auto"/>
          <w:highlight w:val="none"/>
        </w:rPr>
        <w:t>采购内容</w:t>
      </w:r>
    </w:p>
    <w:p w14:paraId="179A62A9">
      <w:pPr>
        <w:pStyle w:val="5"/>
        <w:spacing w:line="360" w:lineRule="auto"/>
        <w:ind w:firstLine="480"/>
        <w:jc w:val="left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项目概况</w:t>
      </w:r>
    </w:p>
    <w:p w14:paraId="2CCCE34F">
      <w:pPr>
        <w:pStyle w:val="5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color w:val="auto"/>
          <w:sz w:val="24"/>
          <w:szCs w:val="24"/>
          <w:highlight w:val="none"/>
          <w:lang w:val="en-US" w:eastAsia="zh-CN"/>
        </w:rPr>
        <w:t>我院综合楼现有500kVA箱式变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电站</w:t>
      </w:r>
      <w:r>
        <w:rPr>
          <w:rFonts w:hint="default" w:ascii="宋体" w:hAnsi="宋体" w:cs="宋体"/>
          <w:color w:val="auto"/>
          <w:sz w:val="24"/>
          <w:szCs w:val="24"/>
          <w:highlight w:val="none"/>
          <w:lang w:val="en-US" w:eastAsia="zh-CN"/>
        </w:rPr>
        <w:t>因投运年限较长，设备老化严重，且随着医院医疗业务的扩展，现有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变电站</w:t>
      </w:r>
      <w:r>
        <w:rPr>
          <w:rFonts w:hint="default" w:ascii="宋体" w:hAnsi="宋体" w:cs="宋体"/>
          <w:color w:val="auto"/>
          <w:sz w:val="24"/>
          <w:szCs w:val="24"/>
          <w:highlight w:val="none"/>
          <w:lang w:val="en-US" w:eastAsia="zh-CN"/>
        </w:rPr>
        <w:t>容量已无法满足高峰期用电需求，存在严重用电安全隐患。为保障医院医疗业务正常开展及患者就医安全，需将现有500kVA箱变更换为1000kVA箱变，实现用电增容及设备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更新。</w:t>
      </w:r>
    </w:p>
    <w:p w14:paraId="1511556F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Hans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本项目为总承包工程，服务内容不限于：旧箱式变电站拆除、新箱式变电站安装、电路接送、电力试运行、配合上级部门验收合格、以及后期的检测等工作内容，具体包括：</w:t>
      </w:r>
    </w:p>
    <w:p w14:paraId="7B485AD4">
      <w:pPr>
        <w:pStyle w:val="5"/>
        <w:spacing w:line="360" w:lineRule="auto"/>
        <w:ind w:firstLine="480"/>
        <w:jc w:val="left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1、采购人提供初步图纸，供应商形成最终图纸并经相关部门审核</w:t>
      </w:r>
    </w:p>
    <w:p w14:paraId="3F88B462">
      <w:pPr>
        <w:pStyle w:val="5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、负责协助采购人到相关部门办理该项目的所有手续并承担所有费用。</w:t>
      </w:r>
    </w:p>
    <w:p w14:paraId="1A3C22E0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、原有500kVA箱式变电站的断电、拆除（拆除的原变电站归采购人所有并运送至采购人库房，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距离约：20公里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）、原有建筑物恢复、垃圾清运及现场清理；</w:t>
      </w:r>
    </w:p>
    <w:p w14:paraId="4555DEF8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、新1000kVA箱式变电站（含基础制作）的供货、运输、安装；</w:t>
      </w:r>
    </w:p>
    <w:p w14:paraId="357AA503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、高低压电缆的敷设、接线、调试及与医院原有供电系统的对接；</w:t>
      </w:r>
    </w:p>
    <w:p w14:paraId="55722BD7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、配合当地供电部门完成项目验收，取得合格送电证明，确保项目顺利送电；</w:t>
      </w:r>
    </w:p>
    <w:p w14:paraId="2E5AFE33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、为医院相关管理人员提供设备操作、日常维护及安全注意事项的现场培训；</w:t>
      </w:r>
    </w:p>
    <w:p w14:paraId="2CF8B30C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、项目质保期内的设备维修、保养及应急故障处理服务。</w:t>
      </w:r>
    </w:p>
    <w:p w14:paraId="73A71BD9">
      <w:pPr>
        <w:pStyle w:val="5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、供应商根据现场勘察情况并结合图纸对现有电缆进行评估，如无法利用，供应商承担所需电缆的费用。</w:t>
      </w:r>
    </w:p>
    <w:p w14:paraId="00DF2D3F">
      <w:pPr>
        <w:pStyle w:val="5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三、技术要求</w:t>
      </w:r>
    </w:p>
    <w:p w14:paraId="3BB7AE11">
      <w:pPr>
        <w:pStyle w:val="5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新更换的1000kVA箱式变电站需符合国家现行标准和规范，满足医院用电安全、稳定、高效的需求，产品技术要求如下：</w:t>
      </w:r>
    </w:p>
    <w:p w14:paraId="47488E84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1、箱式变电站整体要求：</w:t>
      </w:r>
    </w:p>
    <w:p w14:paraId="547ED931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（1）类型：预装式箱式变电站；</w:t>
      </w:r>
    </w:p>
    <w:p w14:paraId="1997ADB1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（2）额定容量：1000kVA；</w:t>
      </w:r>
    </w:p>
    <w:p w14:paraId="62A0F985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（3）额定电压：高压侧10kV，低压侧0.4kV；</w:t>
      </w:r>
    </w:p>
    <w:p w14:paraId="12B61A2A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（4）绕组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材料：全铜绕组</w:t>
      </w:r>
    </w:p>
    <w:p w14:paraId="16BCDA67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（5）阻抗电压：≤4.5％</w:t>
      </w:r>
    </w:p>
    <w:p w14:paraId="037A4D0B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（6）防护等级：外壳防护等级不低于IP33D，适应室外安装环境；</w:t>
      </w:r>
    </w:p>
    <w:p w14:paraId="0C7C71B9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（7）冷却方式：具备完善的通风、除湿、照明温控装置；</w:t>
      </w:r>
    </w:p>
    <w:p w14:paraId="45103F25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（8）能效等级：变电站能效等级需满足或优于国家标准《电力变电站能效限定值及能效等级》（GB20052）中的2级能效要求</w:t>
      </w:r>
    </w:p>
    <w:p w14:paraId="78040164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（9）箱体材质：冷轧钢板喷塑/不锈钢</w:t>
      </w:r>
    </w:p>
    <w:p w14:paraId="6821AD08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2、主要部件技术要求：</w:t>
      </w:r>
    </w:p>
    <w:p w14:paraId="64E27FC5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（1）变电站本体：采用干式变电站，型号为SCB14系列或同等性能及以上产品，联结组别Dyn11，绝缘等级F级或以上，具备低损耗、低噪音、抗短路能力强的特点；</w:t>
      </w:r>
    </w:p>
    <w:p w14:paraId="3BED222E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（2）高压室：配置进线柜、10kV负荷开关、真空断路器柜，具备“五防”联锁功能，确保操作安全；</w:t>
      </w:r>
    </w:p>
    <w:p w14:paraId="7430005B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（3）配置避雷器、接地开关、继电保护</w:t>
      </w:r>
    </w:p>
    <w:p w14:paraId="613F8F3E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（4）低压室：配置进线柜、出线柜、框架式主断路器及塑壳式分支断路器，配备无功功率自动补偿装置，补偿后功率因数不低于0.95，配置智能电力仪表，可实时显示电压、电流、功率、电能等参数。</w:t>
      </w:r>
    </w:p>
    <w:p w14:paraId="34852148">
      <w:pPr>
        <w:pStyle w:val="5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（5）铜排、电缆满足1000KVA载流量</w:t>
      </w:r>
    </w:p>
    <w:p w14:paraId="2729C282">
      <w:pPr>
        <w:pStyle w:val="5"/>
        <w:spacing w:line="360" w:lineRule="auto"/>
        <w:ind w:firstLine="48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其他要求</w:t>
      </w:r>
    </w:p>
    <w:p w14:paraId="2D1A301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1.施工期间保持现场整洁，完工清场。</w:t>
      </w:r>
    </w:p>
    <w:p w14:paraId="2BA47A9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2.因施工质量、手续问题导致无法送电，由中标人承担全部责任。</w:t>
      </w:r>
    </w:p>
    <w:p w14:paraId="275DDCF2">
      <w:pPr>
        <w:rPr>
          <w:color w:val="auto"/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0179CE"/>
    <w:rsid w:val="7501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2026-04-21T08:51:00Z</dcterms:created>
  <dc:creator>唯一</dc:creator>
  <cp:lastModifiedBy>唯一</cp:lastModifiedBy>
  <dcterms:modified xsi:type="dcterms:W3CDTF">2026-04-21T08:51:52Z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FDB5C75B2F8D4FC38F6DF108994D865D_11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