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B26FE">
      <w:pPr>
        <w:pStyle w:val="2"/>
        <w:adjustRightInd w:val="0"/>
        <w:spacing w:before="319" w:beforeLines="100" w:after="478" w:afterLines="150" w:line="500" w:lineRule="exact"/>
        <w:textAlignment w:val="baseline"/>
        <w:rPr>
          <w:rFonts w:ascii="宋体" w:hAnsi="宋体" w:cs="宋体"/>
          <w:sz w:val="36"/>
          <w:szCs w:val="36"/>
        </w:rPr>
      </w:pPr>
      <w:r>
        <w:rPr>
          <w:rFonts w:hint="eastAsia" w:ascii="宋体" w:cs="宋体"/>
          <w:sz w:val="36"/>
          <w:szCs w:val="36"/>
        </w:rPr>
        <w:t>工程质量的保障措施及承诺</w:t>
      </w:r>
    </w:p>
    <w:p w14:paraId="271118EF">
      <w:pPr>
        <w:jc w:val="center"/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C7EE7"/>
    <w:rsid w:val="7ACC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2026-04-21T08:19:00Z</dcterms:created>
  <dc:creator>唯一</dc:creator>
  <cp:lastModifiedBy>唯一</cp:lastModifiedBy>
  <dcterms:modified xsi:type="dcterms:W3CDTF">2026-04-21T08:19:23Z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E82F6E188A864B39BB7F250A3AF531D4_11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