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56F28">
      <w:pPr>
        <w:pStyle w:val="3"/>
        <w:keepNext w:val="0"/>
        <w:keepLines w:val="0"/>
        <w:pageBreakBefore w:val="0"/>
        <w:widowControl/>
        <w:kinsoku/>
        <w:wordWrap/>
        <w:overflowPunct/>
        <w:topLinePunct w:val="0"/>
        <w:autoSpaceDE/>
        <w:autoSpaceDN/>
        <w:bidi w:val="0"/>
        <w:spacing w:before="0" w:beforeLines="0" w:after="0" w:afterLines="0" w:line="560" w:lineRule="exact"/>
        <w:jc w:val="center"/>
        <w:textAlignment w:val="auto"/>
        <w:rPr>
          <w:rFonts w:hint="eastAsia" w:ascii="宋体" w:hAnsi="宋体" w:eastAsia="宋体" w:cs="宋体"/>
          <w:b/>
          <w:bCs/>
          <w:spacing w:val="26"/>
          <w:kern w:val="2"/>
          <w:sz w:val="48"/>
          <w:szCs w:val="48"/>
          <w:highlight w:val="none"/>
          <w:lang w:val="en-US" w:eastAsia="zh-CN"/>
        </w:rPr>
      </w:pPr>
    </w:p>
    <w:p w14:paraId="068154F2">
      <w:pPr>
        <w:pStyle w:val="3"/>
        <w:keepNext w:val="0"/>
        <w:keepLines w:val="0"/>
        <w:pageBreakBefore w:val="0"/>
        <w:widowControl/>
        <w:kinsoku/>
        <w:wordWrap/>
        <w:overflowPunct/>
        <w:topLinePunct w:val="0"/>
        <w:autoSpaceDE/>
        <w:autoSpaceDN/>
        <w:bidi w:val="0"/>
        <w:spacing w:before="0" w:beforeLines="0" w:after="0" w:afterLines="0" w:line="560" w:lineRule="exact"/>
        <w:jc w:val="center"/>
        <w:textAlignment w:val="auto"/>
        <w:rPr>
          <w:rFonts w:hint="eastAsia" w:ascii="宋体" w:hAnsi="宋体" w:eastAsia="宋体" w:cs="宋体"/>
          <w:b/>
          <w:bCs/>
          <w:spacing w:val="26"/>
          <w:kern w:val="2"/>
          <w:sz w:val="48"/>
          <w:szCs w:val="48"/>
          <w:highlight w:val="none"/>
          <w:lang w:val="en-US" w:eastAsia="zh-CN"/>
        </w:rPr>
      </w:pPr>
    </w:p>
    <w:p w14:paraId="0EF38ECE">
      <w:pPr>
        <w:pStyle w:val="3"/>
        <w:keepNext w:val="0"/>
        <w:keepLines w:val="0"/>
        <w:pageBreakBefore w:val="0"/>
        <w:widowControl/>
        <w:kinsoku/>
        <w:wordWrap/>
        <w:overflowPunct/>
        <w:topLinePunct w:val="0"/>
        <w:autoSpaceDE/>
        <w:autoSpaceDN/>
        <w:bidi w:val="0"/>
        <w:adjustRightInd w:val="0"/>
        <w:snapToGrid w:val="0"/>
        <w:spacing w:before="0" w:beforeLines="0" w:after="0" w:afterLines="0" w:line="480" w:lineRule="auto"/>
        <w:jc w:val="center"/>
        <w:textAlignment w:val="auto"/>
        <w:rPr>
          <w:rFonts w:hint="eastAsia" w:ascii="黑体" w:hAnsi="黑体" w:eastAsia="黑体" w:cs="黑体"/>
          <w:b w:val="0"/>
          <w:bCs w:val="0"/>
          <w:spacing w:val="26"/>
          <w:kern w:val="2"/>
          <w:sz w:val="60"/>
          <w:szCs w:val="60"/>
          <w:highlight w:val="none"/>
          <w:lang w:val="en-US" w:eastAsia="zh-CN"/>
        </w:rPr>
      </w:pPr>
      <w:r>
        <w:rPr>
          <w:rFonts w:hint="eastAsia" w:ascii="黑体" w:hAnsi="黑体" w:eastAsia="黑体" w:cs="黑体"/>
          <w:b w:val="0"/>
          <w:bCs w:val="0"/>
          <w:spacing w:val="26"/>
          <w:kern w:val="2"/>
          <w:sz w:val="60"/>
          <w:szCs w:val="60"/>
          <w:highlight w:val="none"/>
          <w:lang w:val="en-US" w:eastAsia="zh-CN"/>
        </w:rPr>
        <w:t>西安市应急救援防汛抢险驻训</w:t>
      </w:r>
    </w:p>
    <w:p w14:paraId="477D3BB4">
      <w:pPr>
        <w:pStyle w:val="3"/>
        <w:keepNext w:val="0"/>
        <w:keepLines w:val="0"/>
        <w:pageBreakBefore w:val="0"/>
        <w:widowControl/>
        <w:kinsoku/>
        <w:wordWrap/>
        <w:overflowPunct/>
        <w:topLinePunct w:val="0"/>
        <w:autoSpaceDE/>
        <w:autoSpaceDN/>
        <w:bidi w:val="0"/>
        <w:adjustRightInd w:val="0"/>
        <w:snapToGrid w:val="0"/>
        <w:spacing w:before="0" w:beforeLines="0" w:after="0" w:afterLines="0" w:line="480" w:lineRule="auto"/>
        <w:jc w:val="center"/>
        <w:textAlignment w:val="auto"/>
        <w:rPr>
          <w:rFonts w:hint="eastAsia" w:ascii="黑体" w:hAnsi="黑体" w:eastAsia="黑体" w:cs="黑体"/>
          <w:b w:val="0"/>
          <w:bCs w:val="0"/>
          <w:spacing w:val="26"/>
          <w:kern w:val="2"/>
          <w:sz w:val="60"/>
          <w:szCs w:val="60"/>
          <w:highlight w:val="none"/>
          <w:lang w:val="en-US" w:eastAsia="zh-CN"/>
        </w:rPr>
      </w:pPr>
      <w:r>
        <w:rPr>
          <w:rFonts w:hint="eastAsia" w:ascii="黑体" w:hAnsi="黑体" w:eastAsia="黑体" w:cs="黑体"/>
          <w:b w:val="0"/>
          <w:bCs w:val="0"/>
          <w:spacing w:val="26"/>
          <w:kern w:val="2"/>
          <w:sz w:val="60"/>
          <w:szCs w:val="60"/>
          <w:highlight w:val="none"/>
          <w:lang w:val="en-US" w:eastAsia="zh-CN"/>
        </w:rPr>
        <w:t>备勤项目</w:t>
      </w:r>
    </w:p>
    <w:p w14:paraId="208EA5B6">
      <w:pPr>
        <w:pStyle w:val="3"/>
        <w:keepNext w:val="0"/>
        <w:keepLines w:val="0"/>
        <w:pageBreakBefore w:val="0"/>
        <w:widowControl/>
        <w:kinsoku/>
        <w:wordWrap/>
        <w:overflowPunct/>
        <w:topLinePunct w:val="0"/>
        <w:autoSpaceDE/>
        <w:autoSpaceDN/>
        <w:bidi w:val="0"/>
        <w:spacing w:before="0" w:beforeLines="0" w:after="0" w:afterLines="0" w:line="240" w:lineRule="auto"/>
        <w:jc w:val="center"/>
        <w:textAlignment w:val="auto"/>
        <w:rPr>
          <w:rFonts w:hint="eastAsia" w:ascii="黑体" w:hAnsi="黑体" w:eastAsia="黑体" w:cs="黑体"/>
          <w:b w:val="0"/>
          <w:bCs w:val="0"/>
          <w:spacing w:val="26"/>
          <w:kern w:val="2"/>
          <w:sz w:val="96"/>
          <w:szCs w:val="96"/>
          <w:highlight w:val="none"/>
          <w:lang w:val="zh-CN" w:eastAsia="zh-CN"/>
        </w:rPr>
      </w:pPr>
    </w:p>
    <w:p w14:paraId="70A8CEE8">
      <w:pPr>
        <w:pStyle w:val="3"/>
        <w:keepNext w:val="0"/>
        <w:keepLines w:val="0"/>
        <w:pageBreakBefore w:val="0"/>
        <w:widowControl/>
        <w:kinsoku/>
        <w:wordWrap/>
        <w:overflowPunct/>
        <w:topLinePunct w:val="0"/>
        <w:autoSpaceDE/>
        <w:autoSpaceDN/>
        <w:bidi w:val="0"/>
        <w:spacing w:before="0" w:beforeLines="0" w:after="0" w:afterLines="0" w:line="240" w:lineRule="auto"/>
        <w:jc w:val="center"/>
        <w:textAlignment w:val="auto"/>
        <w:rPr>
          <w:rFonts w:hint="eastAsia" w:ascii="黑体" w:hAnsi="黑体" w:eastAsia="黑体" w:cs="黑体"/>
          <w:b w:val="0"/>
          <w:bCs w:val="0"/>
          <w:spacing w:val="26"/>
          <w:kern w:val="2"/>
          <w:sz w:val="96"/>
          <w:szCs w:val="96"/>
          <w:highlight w:val="none"/>
          <w:lang w:val="zh-CN" w:eastAsia="zh-CN"/>
        </w:rPr>
      </w:pPr>
      <w:r>
        <w:rPr>
          <w:rFonts w:hint="eastAsia" w:ascii="黑体" w:hAnsi="黑体" w:eastAsia="黑体" w:cs="黑体"/>
          <w:b w:val="0"/>
          <w:bCs w:val="0"/>
          <w:spacing w:val="26"/>
          <w:kern w:val="2"/>
          <w:sz w:val="96"/>
          <w:szCs w:val="96"/>
          <w:highlight w:val="none"/>
          <w:lang w:val="zh-CN" w:eastAsia="zh-CN"/>
        </w:rPr>
        <w:t>服务合同</w:t>
      </w:r>
    </w:p>
    <w:p w14:paraId="2765155A">
      <w:pPr>
        <w:spacing w:beforeLines="0" w:afterLines="0" w:line="240" w:lineRule="auto"/>
        <w:ind w:firstLine="857"/>
        <w:rPr>
          <w:rFonts w:hint="default" w:ascii="Times New Roman" w:hAnsi="Times New Roman" w:eastAsia="Times New Roman"/>
          <w:sz w:val="24"/>
          <w:szCs w:val="24"/>
          <w:highlight w:val="none"/>
          <w:lang w:val="zh-CN"/>
        </w:rPr>
      </w:pPr>
    </w:p>
    <w:p w14:paraId="1A7CE050">
      <w:pPr>
        <w:spacing w:beforeLines="0" w:afterLines="0" w:line="240" w:lineRule="auto"/>
        <w:ind w:firstLine="857"/>
        <w:rPr>
          <w:rFonts w:hint="default" w:ascii="Times New Roman" w:hAnsi="Times New Roman" w:eastAsia="Times New Roman"/>
          <w:sz w:val="24"/>
          <w:szCs w:val="24"/>
          <w:highlight w:val="none"/>
          <w:lang w:val="zh-CN"/>
        </w:rPr>
      </w:pPr>
    </w:p>
    <w:p w14:paraId="43411611">
      <w:pPr>
        <w:spacing w:beforeLines="0" w:afterLines="0" w:line="240" w:lineRule="auto"/>
        <w:ind w:firstLine="857"/>
        <w:rPr>
          <w:rFonts w:hint="default" w:ascii="Times New Roman" w:hAnsi="Times New Roman" w:eastAsia="Times New Roman"/>
          <w:sz w:val="24"/>
          <w:szCs w:val="24"/>
          <w:highlight w:val="none"/>
          <w:lang w:val="zh-CN"/>
        </w:rPr>
      </w:pPr>
    </w:p>
    <w:p w14:paraId="4901A1FC">
      <w:pPr>
        <w:spacing w:beforeLines="0" w:afterLines="0" w:line="240" w:lineRule="auto"/>
        <w:ind w:firstLine="857"/>
        <w:rPr>
          <w:rFonts w:hint="default" w:ascii="Times New Roman" w:hAnsi="Times New Roman" w:eastAsia="Times New Roman"/>
          <w:sz w:val="24"/>
          <w:szCs w:val="24"/>
          <w:highlight w:val="none"/>
          <w:lang w:val="zh-CN"/>
        </w:rPr>
      </w:pPr>
    </w:p>
    <w:p w14:paraId="704D4985">
      <w:pPr>
        <w:spacing w:beforeLines="0" w:afterLines="0" w:line="240" w:lineRule="auto"/>
        <w:ind w:firstLine="857"/>
        <w:rPr>
          <w:rFonts w:hint="default" w:ascii="Times New Roman" w:hAnsi="Times New Roman" w:eastAsia="Times New Roman"/>
          <w:sz w:val="24"/>
          <w:szCs w:val="24"/>
          <w:highlight w:val="none"/>
          <w:lang w:val="zh-CN"/>
        </w:rPr>
      </w:pPr>
    </w:p>
    <w:p w14:paraId="1FB1027F">
      <w:pPr>
        <w:spacing w:beforeLines="0" w:afterLines="0" w:line="240" w:lineRule="auto"/>
        <w:ind w:firstLine="857"/>
        <w:rPr>
          <w:rFonts w:hint="default" w:ascii="Times New Roman" w:hAnsi="Times New Roman" w:eastAsia="Times New Roman"/>
          <w:sz w:val="24"/>
          <w:szCs w:val="24"/>
          <w:highlight w:val="none"/>
          <w:lang w:val="zh-CN"/>
        </w:rPr>
      </w:pPr>
    </w:p>
    <w:p w14:paraId="73707155">
      <w:pPr>
        <w:spacing w:beforeLines="0" w:afterLines="0" w:line="240" w:lineRule="auto"/>
        <w:ind w:firstLine="1800" w:firstLineChars="600"/>
        <w:rPr>
          <w:rFonts w:hint="eastAsia" w:ascii="黑体" w:hAnsi="黑体" w:eastAsia="黑体" w:cs="黑体"/>
          <w:sz w:val="30"/>
          <w:szCs w:val="30"/>
          <w:highlight w:val="none"/>
          <w:lang w:val="zh-CN"/>
        </w:rPr>
      </w:pPr>
    </w:p>
    <w:p w14:paraId="653DA5AE">
      <w:pPr>
        <w:keepNext w:val="0"/>
        <w:keepLines w:val="0"/>
        <w:pageBreakBefore w:val="0"/>
        <w:widowControl/>
        <w:kinsoku/>
        <w:wordWrap/>
        <w:overflowPunct/>
        <w:topLinePunct w:val="0"/>
        <w:autoSpaceDE/>
        <w:autoSpaceDN/>
        <w:bidi w:val="0"/>
        <w:adjustRightInd w:val="0"/>
        <w:snapToGrid w:val="0"/>
        <w:spacing w:beforeLines="0" w:afterLines="0" w:line="360" w:lineRule="auto"/>
        <w:ind w:firstLine="1800" w:firstLineChars="600"/>
        <w:textAlignment w:val="auto"/>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zh-CN"/>
        </w:rPr>
        <w:t>甲</w:t>
      </w:r>
      <w:r>
        <w:rPr>
          <w:rFonts w:hint="eastAsia" w:ascii="黑体" w:hAnsi="黑体" w:eastAsia="黑体" w:cs="黑体"/>
          <w:sz w:val="30"/>
          <w:szCs w:val="30"/>
          <w:highlight w:val="none"/>
          <w:lang w:val="en-US" w:eastAsia="zh-CN"/>
        </w:rPr>
        <w:t xml:space="preserve">    </w:t>
      </w:r>
      <w:r>
        <w:rPr>
          <w:rFonts w:hint="eastAsia" w:ascii="黑体" w:hAnsi="黑体" w:eastAsia="黑体" w:cs="黑体"/>
          <w:sz w:val="30"/>
          <w:szCs w:val="30"/>
          <w:highlight w:val="none"/>
          <w:lang w:val="zh-CN"/>
        </w:rPr>
        <w:t>方：</w:t>
      </w:r>
      <w:r>
        <w:rPr>
          <w:rFonts w:hint="eastAsia" w:ascii="黑体" w:hAnsi="黑体" w:eastAsia="黑体" w:cs="黑体"/>
          <w:sz w:val="30"/>
          <w:szCs w:val="30"/>
          <w:highlight w:val="none"/>
          <w:lang w:val="en-US" w:eastAsia="zh-CN"/>
        </w:rPr>
        <w:t>西安市应急管理局</w:t>
      </w:r>
    </w:p>
    <w:p w14:paraId="7E55B5C9">
      <w:pPr>
        <w:keepNext w:val="0"/>
        <w:keepLines w:val="0"/>
        <w:pageBreakBefore w:val="0"/>
        <w:widowControl/>
        <w:kinsoku/>
        <w:wordWrap/>
        <w:overflowPunct/>
        <w:topLinePunct w:val="0"/>
        <w:autoSpaceDE/>
        <w:autoSpaceDN/>
        <w:bidi w:val="0"/>
        <w:adjustRightInd w:val="0"/>
        <w:snapToGrid w:val="0"/>
        <w:spacing w:beforeLines="0" w:afterLines="0" w:line="360" w:lineRule="auto"/>
        <w:ind w:firstLine="1800" w:firstLineChars="600"/>
        <w:textAlignment w:val="auto"/>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zh-CN"/>
        </w:rPr>
        <w:t>乙</w:t>
      </w:r>
      <w:r>
        <w:rPr>
          <w:rFonts w:hint="eastAsia" w:ascii="黑体" w:hAnsi="黑体" w:eastAsia="黑体" w:cs="黑体"/>
          <w:sz w:val="30"/>
          <w:szCs w:val="30"/>
          <w:highlight w:val="none"/>
          <w:lang w:val="en-US" w:eastAsia="zh-CN"/>
        </w:rPr>
        <w:t xml:space="preserve">    </w:t>
      </w:r>
      <w:r>
        <w:rPr>
          <w:rFonts w:hint="eastAsia" w:ascii="黑体" w:hAnsi="黑体" w:eastAsia="黑体" w:cs="黑体"/>
          <w:sz w:val="30"/>
          <w:szCs w:val="30"/>
          <w:highlight w:val="none"/>
          <w:lang w:val="zh-CN"/>
        </w:rPr>
        <w:t>方：</w:t>
      </w:r>
    </w:p>
    <w:p w14:paraId="22EE357B">
      <w:pPr>
        <w:pStyle w:val="11"/>
        <w:keepNext w:val="0"/>
        <w:keepLines w:val="0"/>
        <w:pageBreakBefore w:val="0"/>
        <w:widowControl/>
        <w:kinsoku/>
        <w:wordWrap/>
        <w:overflowPunct/>
        <w:topLinePunct w:val="0"/>
        <w:autoSpaceDE/>
        <w:autoSpaceDN/>
        <w:bidi w:val="0"/>
        <w:adjustRightInd w:val="0"/>
        <w:snapToGrid w:val="0"/>
        <w:spacing w:line="360" w:lineRule="auto"/>
        <w:ind w:left="0" w:leftChars="0" w:firstLine="1800" w:firstLineChars="600"/>
        <w:textAlignment w:val="auto"/>
        <w:rPr>
          <w:rFonts w:hint="default" w:ascii="黑体" w:hAnsi="黑体" w:eastAsia="黑体" w:cs="黑体"/>
          <w:kern w:val="2"/>
          <w:sz w:val="30"/>
          <w:szCs w:val="30"/>
          <w:highlight w:val="none"/>
          <w:lang w:val="en-US" w:eastAsia="zh-CN"/>
        </w:rPr>
      </w:pPr>
      <w:r>
        <w:rPr>
          <w:rFonts w:hint="eastAsia" w:ascii="黑体" w:hAnsi="黑体" w:eastAsia="黑体" w:cs="黑体"/>
          <w:kern w:val="2"/>
          <w:sz w:val="30"/>
          <w:szCs w:val="30"/>
          <w:highlight w:val="none"/>
          <w:lang w:val="zh-CN"/>
        </w:rPr>
        <w:t>鉴</w:t>
      </w:r>
      <w:r>
        <w:rPr>
          <w:rFonts w:hint="eastAsia" w:ascii="黑体" w:hAnsi="黑体" w:eastAsia="黑体" w:cs="黑体"/>
          <w:kern w:val="2"/>
          <w:sz w:val="30"/>
          <w:szCs w:val="30"/>
          <w:highlight w:val="none"/>
          <w:lang w:val="en-US" w:eastAsia="zh-CN"/>
        </w:rPr>
        <w:t xml:space="preserve"> </w:t>
      </w:r>
      <w:r>
        <w:rPr>
          <w:rFonts w:hint="eastAsia" w:ascii="黑体" w:hAnsi="黑体" w:eastAsia="黑体" w:cs="黑体"/>
          <w:kern w:val="2"/>
          <w:sz w:val="30"/>
          <w:szCs w:val="30"/>
          <w:highlight w:val="none"/>
          <w:lang w:val="zh-CN"/>
        </w:rPr>
        <w:t>证</w:t>
      </w:r>
      <w:r>
        <w:rPr>
          <w:rFonts w:hint="eastAsia" w:ascii="黑体" w:hAnsi="黑体" w:eastAsia="黑体" w:cs="黑体"/>
          <w:kern w:val="2"/>
          <w:sz w:val="30"/>
          <w:szCs w:val="30"/>
          <w:highlight w:val="none"/>
          <w:lang w:val="en-US" w:eastAsia="zh-CN"/>
        </w:rPr>
        <w:t xml:space="preserve"> 方：博标工程咨询有限公司</w:t>
      </w:r>
    </w:p>
    <w:p w14:paraId="4DDB2AED">
      <w:pPr>
        <w:spacing w:beforeLines="0" w:afterLines="0" w:line="240" w:lineRule="auto"/>
        <w:ind w:firstLine="1696" w:firstLineChars="707"/>
        <w:rPr>
          <w:rFonts w:hint="default" w:ascii="Times New Roman" w:hAnsi="Times New Roman" w:eastAsia="宋体" w:cs="Times New Roman"/>
          <w:sz w:val="24"/>
          <w:szCs w:val="24"/>
          <w:highlight w:val="none"/>
          <w:lang w:val="zh-CN" w:eastAsia="zh-CN"/>
        </w:rPr>
      </w:pPr>
    </w:p>
    <w:p w14:paraId="504D7B9F">
      <w:pPr>
        <w:widowControl w:val="0"/>
        <w:jc w:val="center"/>
        <w:rPr>
          <w:rFonts w:hint="eastAsia" w:ascii="黑体" w:hAnsi="Times New Roman" w:eastAsia="黑体" w:cs="Times New Roman"/>
          <w:sz w:val="32"/>
          <w:szCs w:val="32"/>
          <w:lang w:val="zh-CN" w:eastAsia="zh-CN" w:bidi="ar-SA"/>
        </w:rPr>
      </w:pPr>
    </w:p>
    <w:p w14:paraId="57422051">
      <w:pPr>
        <w:keepNext w:val="0"/>
        <w:keepLines w:val="0"/>
        <w:pageBreakBefore w:val="0"/>
        <w:widowControl w:val="0"/>
        <w:kinsoku/>
        <w:wordWrap/>
        <w:overflowPunct/>
        <w:topLinePunct w:val="0"/>
        <w:autoSpaceDE/>
        <w:autoSpaceDN/>
        <w:bidi w:val="0"/>
        <w:adjustRightInd/>
        <w:snapToGrid w:val="0"/>
        <w:spacing w:line="192" w:lineRule="auto"/>
        <w:jc w:val="center"/>
        <w:textAlignment w:val="auto"/>
        <w:rPr>
          <w:rFonts w:hint="eastAsia" w:ascii="黑体" w:hAnsi="Times New Roman" w:eastAsia="黑体" w:cs="Times New Roman"/>
          <w:sz w:val="32"/>
          <w:szCs w:val="32"/>
          <w:lang w:val="zh-CN" w:eastAsia="zh-CN" w:bidi="ar-SA"/>
        </w:rPr>
      </w:pPr>
      <w:r>
        <w:rPr>
          <w:rFonts w:hint="eastAsia" w:ascii="黑体" w:hAnsi="Times New Roman" w:eastAsia="黑体" w:cs="Times New Roman"/>
          <w:sz w:val="32"/>
          <w:szCs w:val="32"/>
          <w:lang w:val="zh-CN" w:eastAsia="zh-CN" w:bidi="ar-SA"/>
        </w:rPr>
        <w:t>202</w:t>
      </w:r>
      <w:r>
        <w:rPr>
          <w:rFonts w:hint="eastAsia" w:ascii="黑体" w:eastAsia="黑体" w:cs="Times New Roman"/>
          <w:sz w:val="32"/>
          <w:szCs w:val="32"/>
          <w:lang w:val="en-US" w:eastAsia="zh-CN" w:bidi="ar-SA"/>
        </w:rPr>
        <w:t>6</w:t>
      </w:r>
      <w:r>
        <w:rPr>
          <w:rFonts w:hint="eastAsia" w:ascii="黑体" w:hAnsi="Times New Roman" w:eastAsia="黑体" w:cs="Times New Roman"/>
          <w:sz w:val="32"/>
          <w:szCs w:val="32"/>
          <w:lang w:val="zh-CN" w:eastAsia="zh-CN" w:bidi="ar-SA"/>
        </w:rPr>
        <w:t>年</w:t>
      </w:r>
    </w:p>
    <w:p w14:paraId="063FDB2E">
      <w:pPr>
        <w:keepNext w:val="0"/>
        <w:keepLines w:val="0"/>
        <w:pageBreakBefore w:val="0"/>
        <w:widowControl w:val="0"/>
        <w:kinsoku/>
        <w:wordWrap/>
        <w:overflowPunct/>
        <w:topLinePunct w:val="0"/>
        <w:autoSpaceDE/>
        <w:autoSpaceDN/>
        <w:bidi w:val="0"/>
        <w:adjustRightInd/>
        <w:snapToGrid w:val="0"/>
        <w:spacing w:line="192" w:lineRule="auto"/>
        <w:jc w:val="center"/>
        <w:textAlignment w:val="auto"/>
        <w:rPr>
          <w:rFonts w:hint="eastAsia" w:ascii="黑体" w:hAnsi="Times New Roman" w:eastAsia="黑体" w:cs="Times New Roman"/>
          <w:sz w:val="32"/>
          <w:szCs w:val="32"/>
          <w:lang w:val="zh-CN" w:eastAsia="zh-CN" w:bidi="ar-SA"/>
        </w:rPr>
      </w:pPr>
      <w:r>
        <w:rPr>
          <w:rFonts w:hint="eastAsia" w:ascii="黑体" w:hAnsi="Times New Roman" w:eastAsia="黑体" w:cs="Times New Roman"/>
          <w:sz w:val="32"/>
          <w:szCs w:val="32"/>
          <w:lang w:val="zh-CN" w:eastAsia="zh-CN" w:bidi="ar-SA"/>
        </w:rPr>
        <w:t>中国</w:t>
      </w:r>
      <w:r>
        <w:rPr>
          <w:rFonts w:hint="eastAsia" w:ascii="黑体" w:hAnsi="Times New Roman" w:eastAsia="黑体" w:cs="Times New Roman"/>
          <w:sz w:val="32"/>
          <w:szCs w:val="32"/>
          <w:lang w:val="en-US" w:eastAsia="zh-CN" w:bidi="ar-SA"/>
        </w:rPr>
        <w:t xml:space="preserve"> </w:t>
      </w:r>
      <w:r>
        <w:rPr>
          <w:rFonts w:hint="eastAsia" w:ascii="黑体" w:hAnsi="Times New Roman" w:eastAsia="黑体" w:cs="Times New Roman"/>
          <w:sz w:val="32"/>
          <w:szCs w:val="32"/>
          <w:lang w:val="zh-CN" w:eastAsia="zh-CN" w:bidi="ar-SA"/>
        </w:rPr>
        <w:t>西安</w:t>
      </w:r>
    </w:p>
    <w:p w14:paraId="70BE40BA">
      <w:pPr>
        <w:pStyle w:val="3"/>
        <w:keepNext w:val="0"/>
        <w:keepLines w:val="0"/>
        <w:pageBreakBefore w:val="0"/>
        <w:widowControl/>
        <w:kinsoku/>
        <w:wordWrap/>
        <w:overflowPunct/>
        <w:topLinePunct w:val="0"/>
        <w:autoSpaceDE/>
        <w:autoSpaceDN/>
        <w:bidi w:val="0"/>
        <w:spacing w:before="0" w:beforeLines="0" w:after="0" w:afterLines="0" w:line="560" w:lineRule="exact"/>
        <w:jc w:val="both"/>
        <w:textAlignment w:val="auto"/>
        <w:rPr>
          <w:rFonts w:hint="eastAsia" w:ascii="楷体_GB2312" w:hAnsi="楷体_GB2312" w:eastAsia="楷体_GB2312" w:cs="楷体_GB2312"/>
          <w:sz w:val="30"/>
          <w:szCs w:val="30"/>
          <w:highlight w:val="none"/>
          <w:lang w:val="zh-CN"/>
        </w:rPr>
        <w:sectPr>
          <w:pgSz w:w="11906" w:h="16838"/>
          <w:pgMar w:top="1984" w:right="1474" w:bottom="1871" w:left="1587" w:header="720" w:footer="720" w:gutter="0"/>
          <w:lnNumType w:countBy="0" w:distance="360"/>
          <w:pgNumType w:fmt="decimal" w:start="1"/>
          <w:cols w:space="720" w:num="1"/>
          <w:rtlGutter w:val="0"/>
          <w:docGrid w:type="linesAndChars" w:linePitch="312" w:charSpace="0"/>
        </w:sectPr>
      </w:pPr>
      <w:r>
        <w:rPr>
          <w:rFonts w:hint="eastAsia" w:ascii="楷体_GB2312" w:hAnsi="楷体_GB2312" w:eastAsia="楷体_GB2312" w:cs="楷体_GB2312"/>
          <w:sz w:val="30"/>
          <w:szCs w:val="30"/>
          <w:highlight w:val="none"/>
          <w:lang w:val="zh-CN"/>
        </w:rPr>
        <w:br w:type="page"/>
      </w:r>
    </w:p>
    <w:p w14:paraId="7446E330">
      <w:pPr>
        <w:pStyle w:val="3"/>
        <w:keepNext w:val="0"/>
        <w:keepLines w:val="0"/>
        <w:pageBreakBefore w:val="0"/>
        <w:widowControl/>
        <w:kinsoku/>
        <w:wordWrap/>
        <w:overflowPunct/>
        <w:topLinePunct w:val="0"/>
        <w:autoSpaceDE/>
        <w:autoSpaceDN/>
        <w:bidi w:val="0"/>
        <w:spacing w:before="0" w:beforeLines="0" w:after="0" w:afterLines="0" w:line="560" w:lineRule="exact"/>
        <w:jc w:val="center"/>
        <w:textAlignment w:val="auto"/>
        <w:rPr>
          <w:rFonts w:hint="eastAsia" w:ascii="方正小标宋简体" w:hAnsi="方正小标宋简体" w:eastAsia="方正小标宋简体" w:cs="方正小标宋简体"/>
          <w:b w:val="0"/>
          <w:bCs w:val="0"/>
          <w:spacing w:val="26"/>
          <w:kern w:val="2"/>
          <w:sz w:val="32"/>
          <w:szCs w:val="32"/>
          <w:highlight w:val="none"/>
          <w:lang w:val="en-US" w:eastAsia="zh-CN"/>
        </w:rPr>
      </w:pPr>
      <w:r>
        <w:rPr>
          <w:rFonts w:hint="eastAsia" w:ascii="方正小标宋简体" w:hAnsi="方正小标宋简体" w:eastAsia="方正小标宋简体" w:cs="方正小标宋简体"/>
          <w:b w:val="0"/>
          <w:bCs w:val="0"/>
          <w:spacing w:val="26"/>
          <w:kern w:val="2"/>
          <w:sz w:val="32"/>
          <w:szCs w:val="32"/>
          <w:highlight w:val="none"/>
          <w:lang w:val="en-US" w:eastAsia="zh-CN"/>
        </w:rPr>
        <w:t>西安市应急救援防汛抢险驻训备勤项目</w:t>
      </w:r>
    </w:p>
    <w:p w14:paraId="49FF823E">
      <w:pPr>
        <w:keepNext w:val="0"/>
        <w:keepLines w:val="0"/>
        <w:pageBreakBefore w:val="0"/>
        <w:widowControl/>
        <w:kinsoku/>
        <w:wordWrap/>
        <w:overflowPunct/>
        <w:topLinePunct w:val="0"/>
        <w:autoSpaceDE/>
        <w:autoSpaceDN/>
        <w:bidi w:val="0"/>
        <w:spacing w:line="560" w:lineRule="exact"/>
        <w:ind w:left="0" w:leftChars="0" w:firstLine="0" w:firstLineChars="0"/>
        <w:jc w:val="center"/>
        <w:textAlignment w:val="auto"/>
        <w:rPr>
          <w:rFonts w:hint="eastAsia" w:ascii="方正小标宋简体" w:hAnsi="方正小标宋简体" w:eastAsia="方正小标宋简体" w:cs="方正小标宋简体"/>
          <w:b w:val="0"/>
          <w:bCs w:val="0"/>
          <w:spacing w:val="26"/>
          <w:kern w:val="2"/>
          <w:sz w:val="32"/>
          <w:szCs w:val="32"/>
          <w:highlight w:val="none"/>
          <w:lang w:val="zh-CN" w:eastAsia="zh-CN"/>
        </w:rPr>
      </w:pPr>
      <w:r>
        <w:rPr>
          <w:rFonts w:hint="eastAsia" w:ascii="方正小标宋简体" w:hAnsi="方正小标宋简体" w:eastAsia="方正小标宋简体" w:cs="方正小标宋简体"/>
          <w:b w:val="0"/>
          <w:bCs w:val="0"/>
          <w:spacing w:val="26"/>
          <w:kern w:val="2"/>
          <w:sz w:val="32"/>
          <w:szCs w:val="32"/>
          <w:highlight w:val="none"/>
          <w:lang w:val="zh-CN" w:eastAsia="zh-CN"/>
        </w:rPr>
        <w:t>服</w:t>
      </w:r>
      <w:r>
        <w:rPr>
          <w:rFonts w:hint="eastAsia" w:ascii="方正小标宋简体" w:hAnsi="方正小标宋简体" w:eastAsia="方正小标宋简体" w:cs="方正小标宋简体"/>
          <w:b w:val="0"/>
          <w:bCs w:val="0"/>
          <w:spacing w:val="26"/>
          <w:kern w:val="2"/>
          <w:sz w:val="32"/>
          <w:szCs w:val="32"/>
          <w:highlight w:val="none"/>
          <w:lang w:val="en-US" w:eastAsia="zh-CN"/>
        </w:rPr>
        <w:t xml:space="preserve"> </w:t>
      </w:r>
      <w:r>
        <w:rPr>
          <w:rFonts w:hint="eastAsia" w:ascii="方正小标宋简体" w:hAnsi="方正小标宋简体" w:eastAsia="方正小标宋简体" w:cs="方正小标宋简体"/>
          <w:b w:val="0"/>
          <w:bCs w:val="0"/>
          <w:spacing w:val="26"/>
          <w:kern w:val="2"/>
          <w:sz w:val="32"/>
          <w:szCs w:val="32"/>
          <w:highlight w:val="none"/>
          <w:lang w:val="zh-CN" w:eastAsia="zh-CN"/>
        </w:rPr>
        <w:t>务</w:t>
      </w:r>
      <w:r>
        <w:rPr>
          <w:rFonts w:hint="eastAsia" w:ascii="方正小标宋简体" w:hAnsi="方正小标宋简体" w:eastAsia="方正小标宋简体" w:cs="方正小标宋简体"/>
          <w:b w:val="0"/>
          <w:bCs w:val="0"/>
          <w:spacing w:val="26"/>
          <w:kern w:val="2"/>
          <w:sz w:val="32"/>
          <w:szCs w:val="32"/>
          <w:highlight w:val="none"/>
          <w:lang w:val="en-US" w:eastAsia="zh-CN"/>
        </w:rPr>
        <w:t xml:space="preserve"> </w:t>
      </w:r>
      <w:r>
        <w:rPr>
          <w:rFonts w:hint="eastAsia" w:ascii="方正小标宋简体" w:hAnsi="方正小标宋简体" w:eastAsia="方正小标宋简体" w:cs="方正小标宋简体"/>
          <w:b w:val="0"/>
          <w:bCs w:val="0"/>
          <w:spacing w:val="26"/>
          <w:kern w:val="2"/>
          <w:sz w:val="32"/>
          <w:szCs w:val="32"/>
          <w:highlight w:val="none"/>
          <w:lang w:val="zh-CN" w:eastAsia="zh-CN"/>
        </w:rPr>
        <w:t>合</w:t>
      </w:r>
      <w:r>
        <w:rPr>
          <w:rFonts w:hint="eastAsia" w:ascii="方正小标宋简体" w:hAnsi="方正小标宋简体" w:eastAsia="方正小标宋简体" w:cs="方正小标宋简体"/>
          <w:b w:val="0"/>
          <w:bCs w:val="0"/>
          <w:spacing w:val="26"/>
          <w:kern w:val="2"/>
          <w:sz w:val="32"/>
          <w:szCs w:val="32"/>
          <w:highlight w:val="none"/>
          <w:lang w:val="en-US" w:eastAsia="zh-CN"/>
        </w:rPr>
        <w:t xml:space="preserve"> </w:t>
      </w:r>
      <w:r>
        <w:rPr>
          <w:rFonts w:hint="eastAsia" w:ascii="方正小标宋简体" w:hAnsi="方正小标宋简体" w:eastAsia="方正小标宋简体" w:cs="方正小标宋简体"/>
          <w:b w:val="0"/>
          <w:bCs w:val="0"/>
          <w:spacing w:val="26"/>
          <w:kern w:val="2"/>
          <w:sz w:val="32"/>
          <w:szCs w:val="32"/>
          <w:highlight w:val="none"/>
          <w:lang w:val="zh-CN" w:eastAsia="zh-CN"/>
        </w:rPr>
        <w:t>同</w:t>
      </w:r>
    </w:p>
    <w:p w14:paraId="0D552BEE">
      <w:pPr>
        <w:spacing w:line="240" w:lineRule="auto"/>
        <w:ind w:left="0" w:leftChars="0" w:firstLine="0" w:firstLineChars="0"/>
        <w:jc w:val="both"/>
        <w:rPr>
          <w:rFonts w:hint="eastAsia" w:ascii="楷体_GB2312" w:hAnsi="楷体_GB2312" w:eastAsia="楷体_GB2312" w:cs="楷体_GB2312"/>
          <w:sz w:val="32"/>
          <w:szCs w:val="32"/>
          <w:highlight w:val="none"/>
          <w:lang w:val="zh-CN"/>
        </w:rPr>
      </w:pPr>
    </w:p>
    <w:p w14:paraId="1E551361">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甲方：</w:t>
      </w:r>
    </w:p>
    <w:p w14:paraId="5D133552">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统一社会信用代码：</w:t>
      </w:r>
    </w:p>
    <w:p w14:paraId="7AC4CAFE">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 xml:space="preserve">住所地：          </w:t>
      </w:r>
    </w:p>
    <w:p w14:paraId="6ED713DF">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法定代表人：</w:t>
      </w:r>
    </w:p>
    <w:p w14:paraId="50A598F8">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 xml:space="preserve">联系电话： </w:t>
      </w:r>
    </w:p>
    <w:p w14:paraId="660A4B1B">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乙方：</w:t>
      </w:r>
    </w:p>
    <w:p w14:paraId="01DA90C0">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 xml:space="preserve">统一社会信用代码： </w:t>
      </w:r>
    </w:p>
    <w:p w14:paraId="3CA1A789">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 xml:space="preserve">住所地：     </w:t>
      </w:r>
    </w:p>
    <w:p w14:paraId="1DD2BD26">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法定代表人：</w:t>
      </w:r>
    </w:p>
    <w:p w14:paraId="7E81F3C1">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联系电话：</w:t>
      </w:r>
    </w:p>
    <w:p w14:paraId="6052A703">
      <w:pPr>
        <w:pStyle w:val="11"/>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cs="仿宋_GB2312"/>
          <w:kern w:val="2"/>
          <w:sz w:val="32"/>
          <w:szCs w:val="32"/>
          <w:highlight w:val="none"/>
          <w:lang w:val="en-US" w:eastAsia="zh-CN"/>
        </w:rPr>
      </w:pPr>
      <w:r>
        <w:rPr>
          <w:rFonts w:hint="eastAsia" w:ascii="仿宋_GB2312" w:hAnsi="仿宋_GB2312" w:cs="仿宋_GB2312"/>
          <w:kern w:val="2"/>
          <w:sz w:val="32"/>
          <w:szCs w:val="32"/>
          <w:highlight w:val="none"/>
          <w:lang w:val="en-US" w:eastAsia="zh-CN"/>
        </w:rPr>
        <w:t>鉴证方：</w:t>
      </w:r>
    </w:p>
    <w:p w14:paraId="04B1671B">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在西安市财政局的监督</w:t>
      </w:r>
      <w:r>
        <w:rPr>
          <w:rFonts w:hint="eastAsia" w:ascii="仿宋_GB2312" w:hAnsi="仿宋_GB2312" w:eastAsia="仿宋_GB2312" w:cs="仿宋_GB2312"/>
          <w:sz w:val="32"/>
          <w:szCs w:val="32"/>
          <w:highlight w:val="none"/>
          <w:lang w:val="en-US" w:eastAsia="zh-CN"/>
        </w:rPr>
        <w:t>管理下，按照政府采购程序组织单一来源采购</w:t>
      </w:r>
      <w:r>
        <w:rPr>
          <w:rFonts w:hint="eastAsia" w:ascii="仿宋_GB2312" w:hAnsi="仿宋_GB2312" w:eastAsia="仿宋_GB2312" w:cs="仿宋_GB2312"/>
          <w:sz w:val="32"/>
          <w:szCs w:val="32"/>
          <w:highlight w:val="none"/>
          <w:lang w:val="zh-CN"/>
        </w:rPr>
        <w:t>，确定乙方为</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lang w:val="zh-CN" w:eastAsia="zh-CN"/>
        </w:rPr>
        <w:t>西安市应急救援防汛抢险驻训备勤项目（</w:t>
      </w:r>
      <w:r>
        <w:rPr>
          <w:rFonts w:hint="eastAsia" w:ascii="仿宋_GB2312" w:hAnsi="仿宋_GB2312" w:eastAsia="仿宋_GB2312" w:cs="仿宋_GB2312"/>
          <w:sz w:val="32"/>
          <w:szCs w:val="32"/>
          <w:highlight w:val="none"/>
          <w:u w:val="single"/>
          <w:lang w:val="en-US" w:eastAsia="zh-CN"/>
        </w:rPr>
        <w:t>项目编号：BB2026-04-ZB-049</w:t>
      </w:r>
      <w:r>
        <w:rPr>
          <w:rFonts w:hint="eastAsia" w:ascii="仿宋_GB2312" w:hAnsi="仿宋_GB2312" w:eastAsia="仿宋_GB2312" w:cs="仿宋_GB2312"/>
          <w:sz w:val="32"/>
          <w:szCs w:val="32"/>
          <w:highlight w:val="none"/>
          <w:u w:val="single"/>
          <w:lang w:val="zh-CN" w:eastAsia="zh-CN"/>
        </w:rPr>
        <w:t>）</w:t>
      </w:r>
      <w:r>
        <w:rPr>
          <w:rFonts w:hint="eastAsia" w:ascii="仿宋_GB2312" w:hAnsi="仿宋_GB2312" w:eastAsia="仿宋_GB2312" w:cs="仿宋_GB2312"/>
          <w:sz w:val="32"/>
          <w:szCs w:val="32"/>
          <w:highlight w:val="none"/>
          <w:lang w:val="zh-CN"/>
        </w:rPr>
        <w:t>成交供应商。依据《中华人民共和国政府采购法》《中华人民共和国民法典》以及博标工程咨询有限公司单一来源</w:t>
      </w:r>
      <w:r>
        <w:rPr>
          <w:rFonts w:hint="eastAsia" w:ascii="仿宋_GB2312" w:hAnsi="仿宋_GB2312" w:eastAsia="仿宋_GB2312" w:cs="仿宋_GB2312"/>
          <w:sz w:val="32"/>
          <w:szCs w:val="32"/>
          <w:highlight w:val="none"/>
          <w:lang w:val="en-US" w:eastAsia="zh-CN"/>
        </w:rPr>
        <w:t>采购</w:t>
      </w:r>
      <w:r>
        <w:rPr>
          <w:rFonts w:hint="eastAsia" w:ascii="仿宋_GB2312" w:hAnsi="仿宋_GB2312" w:eastAsia="仿宋_GB2312" w:cs="仿宋_GB2312"/>
          <w:sz w:val="32"/>
          <w:szCs w:val="32"/>
          <w:highlight w:val="none"/>
          <w:lang w:val="zh-CN"/>
        </w:rPr>
        <w:t>文件、成交通知</w:t>
      </w:r>
      <w:r>
        <w:rPr>
          <w:rFonts w:hint="eastAsia" w:ascii="仿宋_GB2312" w:hAnsi="仿宋_GB2312" w:eastAsia="仿宋_GB2312" w:cs="仿宋_GB2312"/>
          <w:sz w:val="32"/>
          <w:szCs w:val="32"/>
          <w:highlight w:val="none"/>
          <w:lang w:val="en-US" w:eastAsia="zh-CN"/>
        </w:rPr>
        <w:t>书</w:t>
      </w:r>
      <w:r>
        <w:rPr>
          <w:rFonts w:hint="eastAsia" w:ascii="仿宋_GB2312" w:hAnsi="仿宋_GB2312" w:eastAsia="仿宋_GB2312" w:cs="仿宋_GB2312"/>
          <w:sz w:val="32"/>
          <w:szCs w:val="32"/>
          <w:highlight w:val="none"/>
          <w:lang w:val="zh-CN"/>
        </w:rPr>
        <w:t>，经甲、乙双方协商，鉴证方确认，达成如下合同条款。</w:t>
      </w:r>
    </w:p>
    <w:p w14:paraId="4EA8F3FE">
      <w:pPr>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highlight w:val="none"/>
          <w:lang w:val="zh-CN"/>
        </w:rPr>
      </w:pPr>
      <w:r>
        <w:rPr>
          <w:rFonts w:hint="eastAsia" w:ascii="黑体" w:hAnsi="黑体" w:eastAsia="黑体" w:cs="黑体"/>
          <w:sz w:val="32"/>
          <w:szCs w:val="32"/>
          <w:highlight w:val="none"/>
          <w:lang w:val="zh-CN"/>
        </w:rPr>
        <w:t>一、合</w:t>
      </w:r>
      <w:r>
        <w:rPr>
          <w:rFonts w:hint="eastAsia" w:ascii="黑体" w:hAnsi="黑体" w:eastAsia="黑体" w:cs="黑体"/>
          <w:sz w:val="32"/>
          <w:szCs w:val="32"/>
          <w:highlight w:val="none"/>
          <w:lang w:val="en-US" w:eastAsia="zh-CN"/>
        </w:rPr>
        <w:t>同</w:t>
      </w:r>
      <w:r>
        <w:rPr>
          <w:rFonts w:hint="eastAsia" w:ascii="黑体" w:hAnsi="黑体" w:eastAsia="黑体" w:cs="黑体"/>
          <w:sz w:val="32"/>
          <w:szCs w:val="32"/>
          <w:highlight w:val="none"/>
          <w:lang w:val="zh-CN"/>
        </w:rPr>
        <w:t xml:space="preserve">标的物内容及数量 </w:t>
      </w:r>
    </w:p>
    <w:tbl>
      <w:tblPr>
        <w:tblStyle w:val="12"/>
        <w:tblW w:w="0" w:type="auto"/>
        <w:tblInd w:w="595"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16"/>
        <w:gridCol w:w="3960"/>
        <w:gridCol w:w="685"/>
        <w:gridCol w:w="1534"/>
        <w:gridCol w:w="1397"/>
      </w:tblGrid>
      <w:tr w14:paraId="3BD345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94" w:hRule="atLeast"/>
        </w:trPr>
        <w:tc>
          <w:tcPr>
            <w:tcW w:w="616" w:type="dxa"/>
            <w:noWrap w:val="0"/>
            <w:vAlign w:val="center"/>
          </w:tcPr>
          <w:p w14:paraId="5EB7CE63">
            <w:pP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序号</w:t>
            </w:r>
          </w:p>
        </w:tc>
        <w:tc>
          <w:tcPr>
            <w:tcW w:w="3960" w:type="dxa"/>
            <w:noWrap w:val="0"/>
            <w:vAlign w:val="center"/>
          </w:tcPr>
          <w:p w14:paraId="1D6BE6DD">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标的名称</w:t>
            </w:r>
          </w:p>
        </w:tc>
        <w:tc>
          <w:tcPr>
            <w:tcW w:w="685" w:type="dxa"/>
            <w:noWrap w:val="0"/>
            <w:vAlign w:val="center"/>
          </w:tcPr>
          <w:p w14:paraId="23ACE6B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数量</w:t>
            </w:r>
          </w:p>
        </w:tc>
        <w:tc>
          <w:tcPr>
            <w:tcW w:w="1534" w:type="dxa"/>
            <w:noWrap w:val="0"/>
            <w:vAlign w:val="center"/>
          </w:tcPr>
          <w:p w14:paraId="260BF415">
            <w:pP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标的金额（元）</w:t>
            </w:r>
          </w:p>
        </w:tc>
        <w:tc>
          <w:tcPr>
            <w:tcW w:w="1397" w:type="dxa"/>
            <w:noWrap w:val="0"/>
            <w:vAlign w:val="center"/>
          </w:tcPr>
          <w:p w14:paraId="39CF8F3F">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计量单位</w:t>
            </w:r>
          </w:p>
        </w:tc>
      </w:tr>
      <w:tr w14:paraId="682BFE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0" w:hRule="atLeast"/>
        </w:trPr>
        <w:tc>
          <w:tcPr>
            <w:tcW w:w="616" w:type="dxa"/>
            <w:noWrap w:val="0"/>
            <w:vAlign w:val="center"/>
          </w:tcPr>
          <w:p w14:paraId="42973715">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w:t>
            </w:r>
          </w:p>
        </w:tc>
        <w:tc>
          <w:tcPr>
            <w:tcW w:w="3960" w:type="dxa"/>
            <w:noWrap w:val="0"/>
            <w:vAlign w:val="center"/>
          </w:tcPr>
          <w:p w14:paraId="61273C92">
            <w:pP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西安市应急救援防汛抢险驻训备勤项目</w:t>
            </w:r>
          </w:p>
        </w:tc>
        <w:tc>
          <w:tcPr>
            <w:tcW w:w="685" w:type="dxa"/>
            <w:noWrap w:val="0"/>
            <w:vAlign w:val="center"/>
          </w:tcPr>
          <w:p w14:paraId="7E083CA0">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1.00</w:t>
            </w:r>
          </w:p>
        </w:tc>
        <w:tc>
          <w:tcPr>
            <w:tcW w:w="1534" w:type="dxa"/>
            <w:noWrap w:val="0"/>
            <w:vAlign w:val="center"/>
          </w:tcPr>
          <w:p w14:paraId="42119AF2">
            <w:pPr>
              <w:jc w:val="center"/>
              <w:rPr>
                <w:rFonts w:hint="default" w:ascii="Calibri" w:hAnsi="Calibri" w:eastAsia="宋体" w:cs="Times New Roman"/>
                <w:lang w:val="en-US" w:eastAsia="zh-CN"/>
              </w:rPr>
            </w:pPr>
            <w:r>
              <w:rPr>
                <w:rFonts w:hint="eastAsia" w:ascii="仿宋_GB2312" w:hAnsi="仿宋_GB2312" w:eastAsia="仿宋_GB2312" w:cs="仿宋_GB2312"/>
                <w:lang w:val="en-US" w:eastAsia="zh-CN"/>
              </w:rPr>
              <w:t>1560000.00</w:t>
            </w:r>
          </w:p>
        </w:tc>
        <w:tc>
          <w:tcPr>
            <w:tcW w:w="1397" w:type="dxa"/>
            <w:noWrap w:val="0"/>
            <w:vAlign w:val="center"/>
          </w:tcPr>
          <w:p w14:paraId="37BB1706">
            <w:pPr>
              <w:jc w:val="center"/>
              <w:rPr>
                <w:rFonts w:hint="eastAsia" w:ascii="Calibri" w:hAnsi="Calibri" w:eastAsia="宋体" w:cs="Times New Roman"/>
                <w:lang w:val="en-US" w:eastAsia="zh-Hans"/>
              </w:rPr>
            </w:pPr>
            <w:r>
              <w:rPr>
                <w:rFonts w:hint="eastAsia" w:ascii="仿宋_GB2312" w:hAnsi="仿宋_GB2312" w:eastAsia="仿宋_GB2312" w:cs="仿宋_GB2312"/>
                <w:lang w:val="en-US" w:eastAsia="zh-Hans"/>
              </w:rPr>
              <w:t>项</w:t>
            </w:r>
          </w:p>
        </w:tc>
      </w:tr>
    </w:tbl>
    <w:p w14:paraId="2F121A34">
      <w:pPr>
        <w:keepNext w:val="0"/>
        <w:keepLines w:val="0"/>
        <w:pageBreakBefore w:val="0"/>
        <w:widowControl/>
        <w:kinsoku/>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highlight w:val="none"/>
          <w:lang w:val="en-US" w:eastAsia="zh-CN"/>
        </w:rPr>
      </w:pPr>
    </w:p>
    <w:tbl>
      <w:tblPr>
        <w:tblStyle w:val="12"/>
        <w:tblW w:w="4356" w:type="pct"/>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97"/>
        <w:gridCol w:w="7388"/>
      </w:tblGrid>
      <w:tr w14:paraId="207566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5" w:hRule="atLeast"/>
          <w:jc w:val="center"/>
        </w:trPr>
        <w:tc>
          <w:tcPr>
            <w:tcW w:w="487" w:type="pct"/>
            <w:noWrap w:val="0"/>
            <w:vAlign w:val="top"/>
          </w:tcPr>
          <w:p w14:paraId="0899F66F">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序号</w:t>
            </w:r>
          </w:p>
        </w:tc>
        <w:tc>
          <w:tcPr>
            <w:tcW w:w="4512" w:type="pct"/>
            <w:noWrap w:val="0"/>
            <w:vAlign w:val="top"/>
          </w:tcPr>
          <w:p w14:paraId="024110C4">
            <w:pPr>
              <w:jc w:val="center"/>
              <w:rPr>
                <w:rFonts w:hint="eastAsia" w:ascii="方正仿宋_GB2312" w:hAnsi="方正仿宋_GB2312" w:eastAsia="方正仿宋_GB2312" w:cs="方正仿宋_GB2312"/>
                <w:sz w:val="21"/>
                <w:szCs w:val="21"/>
                <w:lang w:val="en-US" w:eastAsia="zh-Hans"/>
              </w:rPr>
            </w:pPr>
            <w:r>
              <w:rPr>
                <w:rFonts w:hint="eastAsia" w:ascii="方正仿宋_GB2312" w:hAnsi="方正仿宋_GB2312" w:eastAsia="方正仿宋_GB2312" w:cs="方正仿宋_GB2312"/>
                <w:sz w:val="21"/>
                <w:szCs w:val="21"/>
                <w:lang w:val="en-US" w:eastAsia="zh-Hans"/>
              </w:rPr>
              <w:t>技术参数与性能指标</w:t>
            </w:r>
          </w:p>
        </w:tc>
      </w:tr>
      <w:tr w14:paraId="6F00D5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7" w:type="dxa"/>
            <w:noWrap w:val="0"/>
            <w:vAlign w:val="center"/>
          </w:tcPr>
          <w:p w14:paraId="2F39AE5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1</w:t>
            </w:r>
          </w:p>
        </w:tc>
        <w:tc>
          <w:tcPr>
            <w:tcW w:w="7388" w:type="dxa"/>
            <w:noWrap w:val="0"/>
            <w:vAlign w:val="center"/>
          </w:tcPr>
          <w:p w14:paraId="66B4EBAF">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20" w:afterAutospacing="0" w:line="400" w:lineRule="exact"/>
              <w:ind w:left="0" w:leftChars="0" w:right="0" w:rightChars="0" w:firstLine="420" w:firstLineChars="0"/>
              <w:jc w:val="both"/>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驻训备勤防汛备战。一是完善驻训期间应急救援防汛备勤工作方案。二是落实人员24小时值班值守，保持人员在位率，周末及节假日备勤率不少于60%，特殊时段备勤率不少于95%。三是严格装备“三定”制度，做好维护保养，确保装备器材时刻处于良好状态。四是抓好战备训练，制定周、月训练计划，按训练计划实施，强化提升救援技能。做好重点方向、重要时段力量预置，参加极端天气导致的城市内涝、防汛抗旱、水上搜救、城市排涝等城市防汛抢险救灾任务。</w:t>
            </w:r>
          </w:p>
        </w:tc>
      </w:tr>
      <w:tr w14:paraId="383D6A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7" w:type="dxa"/>
            <w:noWrap w:val="0"/>
            <w:vAlign w:val="center"/>
          </w:tcPr>
          <w:p w14:paraId="015ECC7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2</w:t>
            </w:r>
          </w:p>
        </w:tc>
        <w:tc>
          <w:tcPr>
            <w:tcW w:w="7388" w:type="dxa"/>
            <w:noWrap w:val="0"/>
            <w:vAlign w:val="center"/>
          </w:tcPr>
          <w:p w14:paraId="3DA4525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20" w:afterAutospacing="0" w:line="400" w:lineRule="exact"/>
              <w:ind w:left="0" w:leftChars="0" w:right="0" w:rightChars="0" w:firstLine="420" w:firstLineChars="0"/>
              <w:jc w:val="both"/>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应急宣讲。对接相关区县应急部门，在全市街办、社区、村镇，围绕“四个一”，即：一堂应急教育课、一场应急安全常识培训、一次应急技能实操、一场政企联动行动，开展应急常识宣讲活动，构建“人人讲安全、个个会应急”的安全防线。</w:t>
            </w:r>
          </w:p>
        </w:tc>
      </w:tr>
      <w:tr w14:paraId="191E75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7" w:type="dxa"/>
            <w:noWrap w:val="0"/>
            <w:vAlign w:val="center"/>
          </w:tcPr>
          <w:p w14:paraId="312451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3</w:t>
            </w:r>
          </w:p>
        </w:tc>
        <w:tc>
          <w:tcPr>
            <w:tcW w:w="7388" w:type="dxa"/>
            <w:noWrap w:val="0"/>
            <w:vAlign w:val="center"/>
          </w:tcPr>
          <w:p w14:paraId="060246E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20" w:afterAutospacing="0" w:line="400" w:lineRule="exact"/>
              <w:ind w:left="0" w:leftChars="0" w:right="0" w:rightChars="0" w:firstLine="420" w:firstLineChars="0"/>
              <w:jc w:val="both"/>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演练演训。一是根据市局及相关区县应急管理局年度演练活动安排，出动人员、装备配合开展联合拉动、防汛、地震等应急救援演练，演练期间参与演练实施方案制定、演练场地平整、相关科目演示等工作。二是根据月度实战演练计划，联合其他队伍开展侦测、响应、前出等协同内容实施，积极参与应急管理局月度演练活动。三是组织实施防汛、森林灭火、山地搜救、无人机救援技能比武活动，做好活动过程执裁、资料汇总和相关保障工作。</w:t>
            </w:r>
          </w:p>
        </w:tc>
      </w:tr>
      <w:tr w14:paraId="24D10E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7" w:type="dxa"/>
            <w:noWrap w:val="0"/>
            <w:vAlign w:val="center"/>
          </w:tcPr>
          <w:p w14:paraId="0D627DB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4</w:t>
            </w:r>
          </w:p>
        </w:tc>
        <w:tc>
          <w:tcPr>
            <w:tcW w:w="7388" w:type="dxa"/>
            <w:noWrap w:val="0"/>
            <w:vAlign w:val="center"/>
          </w:tcPr>
          <w:p w14:paraId="7B81CBE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20" w:afterAutospacing="0" w:line="400" w:lineRule="exact"/>
              <w:ind w:left="0" w:leftChars="0" w:right="0" w:rightChars="0" w:firstLine="420" w:firstLineChars="0"/>
              <w:jc w:val="both"/>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综合检查。根据我局工作安排，积极加入市应急管理系统组织的安全专项检查及防汛督导检查等，开展防火、防汛及隐患排查治理等专项检查，提出整改的意见建议。</w:t>
            </w:r>
          </w:p>
        </w:tc>
      </w:tr>
      <w:tr w14:paraId="0422A0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7" w:type="dxa"/>
            <w:noWrap w:val="0"/>
            <w:vAlign w:val="center"/>
          </w:tcPr>
          <w:p w14:paraId="5FD1027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5</w:t>
            </w:r>
          </w:p>
        </w:tc>
        <w:tc>
          <w:tcPr>
            <w:tcW w:w="7388" w:type="dxa"/>
            <w:noWrap w:val="0"/>
            <w:vAlign w:val="center"/>
          </w:tcPr>
          <w:p w14:paraId="1647BEF7">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20" w:afterAutospacing="0" w:line="400" w:lineRule="exact"/>
              <w:ind w:left="0" w:right="0" w:firstLine="420"/>
              <w:jc w:val="both"/>
              <w:textAlignment w:val="auto"/>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抢险救援。备勤期间：遇有突发事件，根据市应急管理局要求，做好前方指挥部保障和抢险救援工作。一是接到任务后：迅速集结人员、编组装备，分析研判灾情、部署工作任务，第一时间到达指定区域，负责现场指挥部保障、制定现场抢险方案。二是到达救援现场后：西安基地50人、20台套装备为先期处置力量，武汉基地、成都基地、重庆基地根据灾情情况为支援力量；机动方式，采取铁路运输+摩托化行军方式为主，空中输送方式为辅；严密组织、安全高效救援。三是救援任务完成后：制定撤离计划、清理现场、清点物资装备，做好任务总结，宣传表彰等工作。</w:t>
            </w:r>
          </w:p>
          <w:p w14:paraId="1FA729C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20" w:afterAutospacing="0" w:line="400" w:lineRule="exact"/>
              <w:ind w:left="0" w:leftChars="0" w:right="0" w:rightChars="0" w:firstLine="420" w:firstLineChars="0"/>
              <w:jc w:val="both"/>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备勤期外：参与地震、地质等重大自然灾害导致的堤坝决口、堰塞湖、滑坡坍塌 、泥石流等应急工程抢险救援任务。</w:t>
            </w:r>
          </w:p>
        </w:tc>
      </w:tr>
      <w:tr w14:paraId="5D701F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7" w:type="dxa"/>
            <w:noWrap w:val="0"/>
            <w:vAlign w:val="center"/>
          </w:tcPr>
          <w:p w14:paraId="66328F6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6</w:t>
            </w:r>
          </w:p>
        </w:tc>
        <w:tc>
          <w:tcPr>
            <w:tcW w:w="7388" w:type="dxa"/>
            <w:noWrap w:val="0"/>
            <w:vAlign w:val="center"/>
          </w:tcPr>
          <w:p w14:paraId="2D37777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20" w:afterAutospacing="0" w:line="400" w:lineRule="exact"/>
              <w:ind w:left="0" w:leftChars="0" w:right="0" w:rightChars="0" w:firstLine="420" w:firstLineChars="0"/>
              <w:jc w:val="both"/>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队伍培训。一是积极参与市应急管理局组织的队伍培训，并根据培训课程计划，协调安能集团相关人员参与授课。二是借鉴、学习、复制安能三局成熟基地好的做法，积极开展人员内部培训及练兵比武活动，提升人员综合素质能力。三是与其他市级应急救援队伍常走动、多沟通，通过座谈交流、技能演练、参观见学等形式，营造“比学赶帮超”氛围，取长补短、相互学习、共同提高。</w:t>
            </w:r>
          </w:p>
        </w:tc>
      </w:tr>
      <w:tr w14:paraId="19E4D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7" w:type="dxa"/>
            <w:noWrap w:val="0"/>
            <w:vAlign w:val="center"/>
          </w:tcPr>
          <w:p w14:paraId="326EBB8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7</w:t>
            </w:r>
          </w:p>
        </w:tc>
        <w:tc>
          <w:tcPr>
            <w:tcW w:w="7388" w:type="dxa"/>
            <w:noWrap w:val="0"/>
            <w:vAlign w:val="center"/>
          </w:tcPr>
          <w:p w14:paraId="1762CB6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20" w:afterAutospacing="0" w:line="400" w:lineRule="exact"/>
              <w:ind w:left="0" w:leftChars="0" w:right="0" w:rightChars="0" w:firstLine="420" w:firstLineChars="0"/>
              <w:jc w:val="both"/>
              <w:textAlignment w:val="auto"/>
              <w:rPr>
                <w:rFonts w:hint="eastAsia" w:ascii="方正仿宋_GB2312" w:hAnsi="方正仿宋_GB2312" w:eastAsia="方正仿宋_GB2312" w:cs="方正仿宋_GB2312"/>
                <w:color w:val="auto"/>
                <w:sz w:val="18"/>
                <w:szCs w:val="18"/>
                <w:lang w:val="en-US" w:eastAsia="zh-Hans"/>
              </w:rPr>
            </w:pPr>
            <w:r>
              <w:rPr>
                <w:rFonts w:hint="eastAsia" w:ascii="仿宋_GB2312" w:hAnsi="仿宋_GB2312" w:eastAsia="仿宋_GB2312" w:cs="仿宋_GB2312"/>
                <w:b w:val="0"/>
                <w:i w:val="0"/>
                <w:caps w:val="0"/>
                <w:color w:val="auto"/>
                <w:spacing w:val="0"/>
                <w:kern w:val="0"/>
                <w:sz w:val="24"/>
                <w:szCs w:val="24"/>
                <w:shd w:val="clear" w:color="auto" w:fill="FFFFFF"/>
                <w:lang w:val="en-US" w:eastAsia="zh-CN" w:bidi="ar"/>
              </w:rPr>
              <w:t>指挥部建设。进一步提升侦测快反能力，西安基地配置前置备勤具有全天候户外通行能力的车辆装备，协助应急局开展灾害前期侦测任务。管理好代储指挥部帐篷等装备器材，在演训演练、“双盲”演练、抢险救援等任务中，配备完善物资器材及车辆装备，做好现场指挥部搭建等相关保障工作。</w:t>
            </w:r>
          </w:p>
        </w:tc>
      </w:tr>
    </w:tbl>
    <w:p w14:paraId="426AE172">
      <w:pPr>
        <w:pStyle w:val="5"/>
        <w:rPr>
          <w:rFonts w:hint="eastAsia"/>
          <w:lang w:val="en-US" w:eastAsia="zh-CN"/>
        </w:rPr>
      </w:pPr>
    </w:p>
    <w:p w14:paraId="4A7AA54B">
      <w:pPr>
        <w:keepNext w:val="0"/>
        <w:keepLines w:val="0"/>
        <w:pageBreakBefore w:val="0"/>
        <w:widowControl/>
        <w:kinsoku/>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highlight w:val="none"/>
          <w:lang w:val="zh-CN"/>
        </w:rPr>
      </w:pPr>
      <w:r>
        <w:rPr>
          <w:rFonts w:hint="eastAsia" w:ascii="黑体" w:hAnsi="黑体" w:eastAsia="黑体" w:cs="黑体"/>
          <w:sz w:val="32"/>
          <w:szCs w:val="32"/>
          <w:highlight w:val="none"/>
          <w:lang w:val="en-US" w:eastAsia="zh-CN"/>
        </w:rPr>
        <w:t>二</w:t>
      </w:r>
      <w:r>
        <w:rPr>
          <w:rFonts w:hint="eastAsia" w:ascii="黑体" w:hAnsi="黑体" w:eastAsia="黑体" w:cs="黑体"/>
          <w:sz w:val="32"/>
          <w:szCs w:val="32"/>
          <w:highlight w:val="none"/>
          <w:lang w:val="zh-CN"/>
        </w:rPr>
        <w:t>、服务条件</w:t>
      </w:r>
    </w:p>
    <w:p w14:paraId="6EE441F4">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zh-CN"/>
        </w:rPr>
        <w:t>（一）服务地点：</w:t>
      </w:r>
      <w:r>
        <w:rPr>
          <w:rFonts w:hint="eastAsia" w:ascii="仿宋_GB2312" w:hAnsi="仿宋_GB2312" w:eastAsia="仿宋_GB2312" w:cs="仿宋_GB2312"/>
          <w:kern w:val="2"/>
          <w:sz w:val="32"/>
          <w:szCs w:val="32"/>
          <w:highlight w:val="none"/>
          <w:u w:val="single"/>
          <w:lang w:val="en-US" w:eastAsia="zh-CN"/>
        </w:rPr>
        <w:t xml:space="preserve">  甲方指定地点  </w:t>
      </w:r>
    </w:p>
    <w:p w14:paraId="1A374CF5">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zh-CN" w:eastAsia="zh-CN"/>
        </w:rPr>
      </w:pPr>
      <w:r>
        <w:rPr>
          <w:rFonts w:hint="eastAsia" w:ascii="仿宋_GB2312" w:hAnsi="仿宋_GB2312" w:eastAsia="仿宋_GB2312" w:cs="仿宋_GB2312"/>
          <w:kern w:val="2"/>
          <w:sz w:val="32"/>
          <w:szCs w:val="32"/>
          <w:highlight w:val="none"/>
          <w:lang w:val="zh-CN" w:eastAsia="zh-CN"/>
        </w:rPr>
        <w:t>（二）服务</w:t>
      </w:r>
      <w:r>
        <w:rPr>
          <w:rFonts w:hint="eastAsia" w:ascii="仿宋_GB2312" w:hAnsi="仿宋_GB2312" w:eastAsia="仿宋_GB2312" w:cs="仿宋_GB2312"/>
          <w:kern w:val="2"/>
          <w:sz w:val="32"/>
          <w:szCs w:val="32"/>
          <w:highlight w:val="none"/>
          <w:lang w:val="en-US" w:eastAsia="zh-CN"/>
        </w:rPr>
        <w:t>期限</w:t>
      </w:r>
      <w:r>
        <w:rPr>
          <w:rFonts w:hint="eastAsia" w:ascii="仿宋_GB2312" w:hAnsi="仿宋_GB2312" w:eastAsia="仿宋_GB2312" w:cs="仿宋_GB2312"/>
          <w:kern w:val="2"/>
          <w:sz w:val="32"/>
          <w:szCs w:val="32"/>
          <w:highlight w:val="none"/>
          <w:lang w:val="zh-CN" w:eastAsia="zh-CN"/>
        </w:rPr>
        <w:t>：</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eastAsia="zh-CN"/>
        </w:rPr>
        <w:t>。</w:t>
      </w:r>
    </w:p>
    <w:p w14:paraId="1981A83C">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（三）质量保证期为合同服务期。</w:t>
      </w:r>
    </w:p>
    <w:p w14:paraId="0E6E9898">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zh-CN" w:eastAsia="zh-CN"/>
        </w:rPr>
      </w:pPr>
      <w:r>
        <w:rPr>
          <w:rFonts w:hint="eastAsia" w:ascii="黑体" w:hAnsi="黑体" w:eastAsia="黑体" w:cs="黑体"/>
          <w:kern w:val="2"/>
          <w:sz w:val="32"/>
          <w:szCs w:val="32"/>
          <w:highlight w:val="none"/>
          <w:lang w:val="zh-CN" w:eastAsia="zh-CN"/>
        </w:rPr>
        <w:t>三、合同价款</w:t>
      </w:r>
    </w:p>
    <w:p w14:paraId="50E91F69">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zh-CN"/>
        </w:rPr>
      </w:pPr>
      <w:r>
        <w:rPr>
          <w:rFonts w:hint="eastAsia" w:ascii="仿宋_GB2312" w:hAnsi="仿宋_GB2312" w:eastAsia="仿宋_GB2312" w:cs="仿宋_GB2312"/>
          <w:kern w:val="2"/>
          <w:sz w:val="32"/>
          <w:szCs w:val="32"/>
          <w:highlight w:val="none"/>
          <w:lang w:val="zh-CN"/>
        </w:rPr>
        <w:t>（一）合同总价款为人民币￥</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rPr>
        <w:t>元（人民币大写：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eastAsia" w:ascii="仿宋_GB2312" w:hAnsi="仿宋_GB2312" w:eastAsia="仿宋_GB2312" w:cs="仿宋_GB2312"/>
          <w:kern w:val="2"/>
          <w:sz w:val="32"/>
          <w:szCs w:val="32"/>
          <w:highlight w:val="none"/>
          <w:lang w:val="zh-CN"/>
        </w:rPr>
        <w:t>。其中，不含税价款为</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rPr>
        <w:t>元（大写：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eastAsia" w:ascii="仿宋_GB2312" w:hAnsi="仿宋_GB2312" w:eastAsia="仿宋_GB2312" w:cs="仿宋_GB2312"/>
          <w:kern w:val="2"/>
          <w:sz w:val="32"/>
          <w:szCs w:val="32"/>
          <w:highlight w:val="none"/>
          <w:lang w:val="zh-CN"/>
        </w:rPr>
        <w:t>），增值税税率为</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rPr>
        <w:t>%，增值税</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lang w:val="zh-CN"/>
        </w:rPr>
        <w:t>元（大写：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eastAsia" w:ascii="仿宋_GB2312" w:hAnsi="仿宋_GB2312" w:eastAsia="仿宋_GB2312" w:cs="仿宋_GB2312"/>
          <w:kern w:val="2"/>
          <w:sz w:val="32"/>
          <w:szCs w:val="32"/>
          <w:highlight w:val="none"/>
          <w:lang w:val="zh-CN"/>
        </w:rPr>
        <w:t>）。</w:t>
      </w:r>
    </w:p>
    <w:p w14:paraId="62449EF7">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zh-CN"/>
        </w:rPr>
        <w:t>（二）合同总价包括：</w:t>
      </w:r>
      <w:r>
        <w:rPr>
          <w:rFonts w:hint="eastAsia" w:ascii="仿宋_GB2312" w:hAnsi="仿宋_GB2312" w:eastAsia="仿宋_GB2312" w:cs="仿宋_GB2312"/>
          <w:kern w:val="2"/>
          <w:sz w:val="32"/>
          <w:szCs w:val="32"/>
          <w:highlight w:val="none"/>
          <w:lang w:val="en-US" w:eastAsia="zh-CN"/>
        </w:rPr>
        <w:t>驻训食宿费、训练保障经费和教育培训经费。</w:t>
      </w:r>
    </w:p>
    <w:p w14:paraId="3DB770B2">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zh-CN"/>
        </w:rPr>
      </w:pPr>
      <w:r>
        <w:rPr>
          <w:rFonts w:hint="eastAsia" w:ascii="仿宋_GB2312" w:hAnsi="仿宋_GB2312" w:eastAsia="仿宋_GB2312" w:cs="仿宋_GB2312"/>
          <w:kern w:val="2"/>
          <w:sz w:val="32"/>
          <w:szCs w:val="32"/>
          <w:highlight w:val="none"/>
          <w:lang w:val="zh-CN"/>
        </w:rPr>
        <w:t>（三）合同</w:t>
      </w:r>
      <w:r>
        <w:rPr>
          <w:rFonts w:hint="eastAsia" w:ascii="仿宋_GB2312" w:hAnsi="仿宋_GB2312" w:eastAsia="仿宋_GB2312" w:cs="仿宋_GB2312"/>
          <w:kern w:val="2"/>
          <w:sz w:val="32"/>
          <w:szCs w:val="32"/>
          <w:highlight w:val="none"/>
          <w:lang w:val="en-US" w:eastAsia="zh-CN"/>
        </w:rPr>
        <w:t>为固定总价合同</w:t>
      </w:r>
      <w:r>
        <w:rPr>
          <w:rFonts w:hint="eastAsia" w:ascii="仿宋_GB2312" w:hAnsi="仿宋_GB2312" w:eastAsia="仿宋_GB2312" w:cs="仿宋_GB2312"/>
          <w:kern w:val="2"/>
          <w:sz w:val="32"/>
          <w:szCs w:val="32"/>
          <w:highlight w:val="none"/>
          <w:lang w:val="zh-CN"/>
        </w:rPr>
        <w:t>，不受市场价格变化因素的影响。</w:t>
      </w:r>
    </w:p>
    <w:p w14:paraId="391D9858">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zh-CN" w:eastAsia="zh-CN"/>
        </w:rPr>
      </w:pPr>
      <w:r>
        <w:rPr>
          <w:rFonts w:hint="eastAsia" w:ascii="黑体" w:hAnsi="黑体" w:eastAsia="黑体" w:cs="黑体"/>
          <w:kern w:val="2"/>
          <w:sz w:val="32"/>
          <w:szCs w:val="32"/>
          <w:highlight w:val="none"/>
          <w:lang w:val="zh-CN" w:eastAsia="zh-CN"/>
        </w:rPr>
        <w:t>四、款项结算</w:t>
      </w:r>
    </w:p>
    <w:p w14:paraId="51DBFC0E">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zh-CN"/>
        </w:rPr>
        <w:t>（一）</w:t>
      </w:r>
      <w:r>
        <w:rPr>
          <w:rFonts w:hint="eastAsia" w:ascii="仿宋_GB2312" w:hAnsi="仿宋_GB2312" w:eastAsia="仿宋_GB2312" w:cs="仿宋_GB2312"/>
          <w:kern w:val="2"/>
          <w:sz w:val="32"/>
          <w:szCs w:val="32"/>
          <w:highlight w:val="none"/>
          <w:lang w:val="en-US" w:eastAsia="zh-CN"/>
        </w:rPr>
        <w:t>合同签订后，达到付款条件起</w:t>
      </w:r>
      <w:r>
        <w:rPr>
          <w:rFonts w:hint="eastAsia" w:ascii="仿宋_GB2312" w:hAnsi="仿宋_GB2312" w:eastAsia="仿宋_GB2312" w:cs="仿宋_GB2312"/>
          <w:kern w:val="2"/>
          <w:sz w:val="32"/>
          <w:szCs w:val="32"/>
          <w:highlight w:val="none"/>
          <w:u w:val="single"/>
          <w:lang w:val="en-US" w:eastAsia="zh-CN"/>
        </w:rPr>
        <w:t xml:space="preserve">  20 </w:t>
      </w:r>
      <w:r>
        <w:rPr>
          <w:rFonts w:hint="eastAsia" w:ascii="仿宋_GB2312" w:hAnsi="仿宋_GB2312" w:eastAsia="仿宋_GB2312" w:cs="仿宋_GB2312"/>
          <w:kern w:val="2"/>
          <w:sz w:val="32"/>
          <w:szCs w:val="32"/>
          <w:highlight w:val="none"/>
          <w:lang w:val="en-US" w:eastAsia="zh-CN"/>
        </w:rPr>
        <w:t>个日历日内按照合同总价预付款40%，</w:t>
      </w:r>
      <w:r>
        <w:rPr>
          <w:rFonts w:hint="default" w:ascii="仿宋_GB2312" w:hAnsi="仿宋_GB2312" w:eastAsia="仿宋_GB2312" w:cs="仿宋_GB2312"/>
          <w:kern w:val="2"/>
          <w:sz w:val="32"/>
          <w:szCs w:val="32"/>
          <w:highlight w:val="none"/>
          <w:lang w:val="en-US" w:eastAsia="zh-CN"/>
        </w:rPr>
        <w:t>即人民币</w:t>
      </w:r>
      <w:r>
        <w:rPr>
          <w:rFonts w:hint="eastAsia" w:ascii="仿宋_GB2312" w:hAnsi="仿宋_GB2312" w:eastAsia="仿宋_GB2312" w:cs="仿宋_GB2312"/>
          <w:kern w:val="2"/>
          <w:sz w:val="32"/>
          <w:szCs w:val="32"/>
          <w:highlight w:val="none"/>
          <w:u w:val="single"/>
          <w:lang w:val="en-US" w:eastAsia="zh-CN"/>
        </w:rPr>
        <w:t xml:space="preserve">           </w:t>
      </w:r>
      <w:r>
        <w:rPr>
          <w:rFonts w:hint="default" w:ascii="仿宋_GB2312" w:hAnsi="仿宋_GB2312" w:eastAsia="仿宋_GB2312" w:cs="仿宋_GB2312"/>
          <w:kern w:val="2"/>
          <w:sz w:val="32"/>
          <w:szCs w:val="32"/>
          <w:highlight w:val="none"/>
          <w:lang w:val="en-US" w:eastAsia="zh-CN"/>
        </w:rPr>
        <w:t>元（大写：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default" w:ascii="仿宋_GB2312" w:hAnsi="仿宋_GB2312" w:eastAsia="仿宋_GB2312" w:cs="仿宋_GB2312"/>
          <w:kern w:val="2"/>
          <w:sz w:val="32"/>
          <w:szCs w:val="32"/>
          <w:highlight w:val="none"/>
          <w:lang w:val="en-US" w:eastAsia="zh-CN"/>
        </w:rPr>
        <w:t>）</w:t>
      </w:r>
      <w:r>
        <w:rPr>
          <w:rFonts w:hint="eastAsia" w:ascii="仿宋_GB2312" w:hAnsi="仿宋_GB2312" w:eastAsia="仿宋_GB2312" w:cs="仿宋_GB2312"/>
          <w:kern w:val="2"/>
          <w:sz w:val="32"/>
          <w:szCs w:val="32"/>
          <w:highlight w:val="none"/>
          <w:lang w:val="en-US" w:eastAsia="zh-CN"/>
        </w:rPr>
        <w:t>。</w:t>
      </w:r>
    </w:p>
    <w:p w14:paraId="701553B1">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w:t>
      </w:r>
      <w:r>
        <w:rPr>
          <w:rFonts w:hint="default" w:ascii="仿宋_GB2312" w:hAnsi="仿宋_GB2312" w:eastAsia="仿宋_GB2312" w:cs="仿宋_GB2312"/>
          <w:kern w:val="2"/>
          <w:sz w:val="32"/>
          <w:szCs w:val="32"/>
          <w:highlight w:val="none"/>
          <w:lang w:val="en-US" w:eastAsia="zh-CN"/>
        </w:rPr>
        <w:t>本合同项下所有服务内容完成并经最终验收合格，且依本条第四款满足结算条件后</w:t>
      </w:r>
      <w:r>
        <w:rPr>
          <w:rFonts w:hint="eastAsia" w:ascii="仿宋_GB2312" w:hAnsi="仿宋_GB2312" w:eastAsia="仿宋_GB2312" w:cs="仿宋_GB2312"/>
          <w:kern w:val="2"/>
          <w:sz w:val="32"/>
          <w:szCs w:val="32"/>
          <w:highlight w:val="none"/>
          <w:u w:val="single"/>
          <w:lang w:val="en-US" w:eastAsia="zh-CN"/>
        </w:rPr>
        <w:t xml:space="preserve"> 3</w:t>
      </w:r>
      <w:r>
        <w:rPr>
          <w:rFonts w:hint="default" w:ascii="仿宋_GB2312" w:hAnsi="仿宋_GB2312" w:eastAsia="仿宋_GB2312" w:cs="仿宋_GB2312"/>
          <w:kern w:val="2"/>
          <w:sz w:val="32"/>
          <w:szCs w:val="32"/>
          <w:highlight w:val="none"/>
          <w:u w:val="single"/>
          <w:lang w:val="en-US" w:eastAsia="zh-CN"/>
        </w:rPr>
        <w:t>0</w:t>
      </w:r>
      <w:r>
        <w:rPr>
          <w:rFonts w:hint="eastAsia" w:ascii="仿宋_GB2312" w:hAnsi="仿宋_GB2312" w:eastAsia="仿宋_GB2312" w:cs="仿宋_GB2312"/>
          <w:kern w:val="2"/>
          <w:sz w:val="32"/>
          <w:szCs w:val="32"/>
          <w:highlight w:val="none"/>
          <w:u w:val="single"/>
          <w:lang w:val="en-US" w:eastAsia="zh-CN"/>
        </w:rPr>
        <w:t xml:space="preserve"> </w:t>
      </w:r>
      <w:r>
        <w:rPr>
          <w:rFonts w:hint="default" w:ascii="仿宋_GB2312" w:hAnsi="仿宋_GB2312" w:eastAsia="仿宋_GB2312" w:cs="仿宋_GB2312"/>
          <w:kern w:val="2"/>
          <w:sz w:val="32"/>
          <w:szCs w:val="32"/>
          <w:highlight w:val="none"/>
          <w:lang w:val="en-US" w:eastAsia="zh-CN"/>
        </w:rPr>
        <w:t>个日历日内，乙方应开具等额增值税普通发票提供给甲方，甲方支付合同总价款的</w:t>
      </w:r>
      <w:r>
        <w:rPr>
          <w:rFonts w:hint="eastAsia" w:ascii="仿宋_GB2312" w:hAnsi="仿宋_GB2312" w:eastAsia="仿宋_GB2312" w:cs="仿宋_GB2312"/>
          <w:kern w:val="2"/>
          <w:sz w:val="32"/>
          <w:szCs w:val="32"/>
          <w:highlight w:val="none"/>
          <w:lang w:val="en-US" w:eastAsia="zh-CN"/>
        </w:rPr>
        <w:t>60</w:t>
      </w:r>
      <w:r>
        <w:rPr>
          <w:rFonts w:hint="default" w:ascii="仿宋_GB2312" w:hAnsi="仿宋_GB2312" w:eastAsia="仿宋_GB2312" w:cs="仿宋_GB2312"/>
          <w:kern w:val="2"/>
          <w:sz w:val="32"/>
          <w:szCs w:val="32"/>
          <w:highlight w:val="none"/>
          <w:lang w:val="en-US" w:eastAsia="zh-CN"/>
        </w:rPr>
        <w:t>%，</w:t>
      </w:r>
      <w:r>
        <w:rPr>
          <w:rFonts w:hint="eastAsia" w:ascii="仿宋_GB2312" w:hAnsi="仿宋_GB2312" w:eastAsia="仿宋_GB2312" w:cs="仿宋_GB2312"/>
          <w:kern w:val="2"/>
          <w:sz w:val="32"/>
          <w:szCs w:val="32"/>
          <w:highlight w:val="none"/>
          <w:lang w:val="en-US" w:eastAsia="zh-CN"/>
        </w:rPr>
        <w:t>即人民币</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w:t>
      </w:r>
      <w:r>
        <w:rPr>
          <w:rFonts w:hint="eastAsia" w:ascii="仿宋_GB2312" w:hAnsi="仿宋_GB2312" w:eastAsia="仿宋_GB2312" w:cs="仿宋_GB2312"/>
          <w:kern w:val="2"/>
          <w:sz w:val="32"/>
          <w:szCs w:val="32"/>
          <w:highlight w:val="none"/>
          <w:lang w:val="en-US" w:eastAsia="zh-CN"/>
        </w:rPr>
        <w:t>（大写：</w:t>
      </w:r>
      <w:r>
        <w:rPr>
          <w:rFonts w:hint="eastAsia" w:ascii="仿宋_GB2312" w:hAnsi="仿宋_GB2312" w:eastAsia="仿宋_GB2312" w:cs="仿宋_GB2312"/>
          <w:kern w:val="2"/>
          <w:sz w:val="32"/>
          <w:szCs w:val="32"/>
          <w:highlight w:val="none"/>
          <w:u w:val="single"/>
          <w:lang w:val="en-US" w:eastAsia="zh-CN"/>
        </w:rPr>
        <w:t xml:space="preserve">            </w:t>
      </w:r>
      <w:r>
        <w:rPr>
          <w:rFonts w:hint="eastAsia" w:ascii="仿宋_GB2312" w:hAnsi="仿宋_GB2312" w:eastAsia="仿宋_GB2312" w:cs="仿宋_GB2312"/>
          <w:kern w:val="2"/>
          <w:sz w:val="32"/>
          <w:szCs w:val="32"/>
          <w:highlight w:val="none"/>
          <w:u w:val="none"/>
          <w:lang w:val="en-US" w:eastAsia="zh-CN"/>
        </w:rPr>
        <w:t>元整</w:t>
      </w:r>
      <w:r>
        <w:rPr>
          <w:rFonts w:hint="eastAsia" w:ascii="仿宋_GB2312" w:hAnsi="仿宋_GB2312" w:eastAsia="仿宋_GB2312" w:cs="仿宋_GB2312"/>
          <w:kern w:val="2"/>
          <w:sz w:val="32"/>
          <w:szCs w:val="32"/>
          <w:highlight w:val="none"/>
          <w:lang w:val="en-US" w:eastAsia="zh-CN"/>
        </w:rPr>
        <w:t>）。</w:t>
      </w:r>
    </w:p>
    <w:p w14:paraId="318B8799">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val="zh-CN"/>
        </w:rPr>
        <w:t>（</w:t>
      </w:r>
      <w:r>
        <w:rPr>
          <w:rFonts w:hint="eastAsia" w:ascii="仿宋_GB2312" w:hAnsi="仿宋_GB2312" w:eastAsia="仿宋_GB2312" w:cs="仿宋_GB2312"/>
          <w:color w:val="auto"/>
          <w:kern w:val="2"/>
          <w:sz w:val="32"/>
          <w:szCs w:val="32"/>
          <w:highlight w:val="none"/>
          <w:lang w:val="en-US" w:eastAsia="zh-CN"/>
        </w:rPr>
        <w:t>三</w:t>
      </w:r>
      <w:r>
        <w:rPr>
          <w:rFonts w:hint="eastAsia" w:ascii="仿宋_GB2312" w:hAnsi="仿宋_GB2312" w:eastAsia="仿宋_GB2312" w:cs="仿宋_GB2312"/>
          <w:kern w:val="2"/>
          <w:sz w:val="32"/>
          <w:szCs w:val="32"/>
          <w:highlight w:val="none"/>
          <w:lang w:val="zh-CN"/>
        </w:rPr>
        <w:t>）</w:t>
      </w:r>
      <w:r>
        <w:rPr>
          <w:rFonts w:hint="eastAsia" w:ascii="仿宋_GB2312" w:hAnsi="仿宋_GB2312" w:eastAsia="仿宋_GB2312" w:cs="仿宋_GB2312"/>
          <w:kern w:val="2"/>
          <w:sz w:val="32"/>
          <w:szCs w:val="32"/>
          <w:highlight w:val="none"/>
          <w:lang w:val="en-US" w:eastAsia="zh-CN"/>
        </w:rPr>
        <w:t>支付方式</w:t>
      </w:r>
      <w:r>
        <w:rPr>
          <w:rFonts w:hint="eastAsia" w:ascii="仿宋_GB2312" w:hAnsi="仿宋_GB2312" w:eastAsia="仿宋_GB2312" w:cs="仿宋_GB2312"/>
          <w:kern w:val="2"/>
          <w:sz w:val="32"/>
          <w:szCs w:val="32"/>
          <w:highlight w:val="none"/>
          <w:lang w:val="zh-CN"/>
        </w:rPr>
        <w:t>：</w:t>
      </w:r>
      <w:r>
        <w:rPr>
          <w:rFonts w:hint="eastAsia" w:ascii="仿宋_GB2312" w:hAnsi="仿宋_GB2312" w:eastAsia="仿宋_GB2312" w:cs="仿宋_GB2312"/>
          <w:kern w:val="2"/>
          <w:sz w:val="32"/>
          <w:szCs w:val="32"/>
          <w:highlight w:val="none"/>
          <w:lang w:val="en-US" w:eastAsia="zh-CN"/>
        </w:rPr>
        <w:t>银行转账</w:t>
      </w:r>
    </w:p>
    <w:p w14:paraId="701E0D26">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账户名称</w:t>
      </w:r>
      <w:r>
        <w:rPr>
          <w:rFonts w:hint="default" w:ascii="仿宋_GB2312" w:hAnsi="仿宋_GB2312" w:eastAsia="仿宋_GB2312" w:cs="仿宋_GB2312"/>
          <w:kern w:val="2"/>
          <w:sz w:val="32"/>
          <w:szCs w:val="32"/>
          <w:highlight w:val="none"/>
          <w:lang w:val="en-US" w:eastAsia="zh-CN"/>
        </w:rPr>
        <w:t xml:space="preserve">：             </w:t>
      </w:r>
    </w:p>
    <w:p w14:paraId="53C0F1EF">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default" w:ascii="仿宋_GB2312" w:hAnsi="仿宋_GB2312" w:eastAsia="仿宋_GB2312" w:cs="仿宋_GB2312"/>
          <w:kern w:val="2"/>
          <w:sz w:val="32"/>
          <w:szCs w:val="32"/>
          <w:highlight w:val="none"/>
          <w:lang w:val="en-US" w:eastAsia="zh-CN"/>
        </w:rPr>
        <w:t>地    址：</w:t>
      </w:r>
    </w:p>
    <w:p w14:paraId="45CDF09F">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default" w:ascii="仿宋_GB2312" w:hAnsi="仿宋_GB2312" w:eastAsia="仿宋_GB2312" w:cs="仿宋_GB2312"/>
          <w:kern w:val="2"/>
          <w:sz w:val="32"/>
          <w:szCs w:val="32"/>
          <w:highlight w:val="none"/>
          <w:lang w:val="en-US" w:eastAsia="zh-CN"/>
        </w:rPr>
        <w:t xml:space="preserve">开 户 行：                     </w:t>
      </w:r>
    </w:p>
    <w:p w14:paraId="0865271D">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default" w:ascii="仿宋_GB2312" w:hAnsi="仿宋_GB2312" w:eastAsia="仿宋_GB2312" w:cs="仿宋_GB2312"/>
          <w:kern w:val="2"/>
          <w:sz w:val="32"/>
          <w:szCs w:val="32"/>
          <w:highlight w:val="none"/>
          <w:lang w:val="en-US" w:eastAsia="zh-CN"/>
        </w:rPr>
        <w:t xml:space="preserve">帐    号：                    </w:t>
      </w:r>
    </w:p>
    <w:p w14:paraId="271821A7">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纳税人识别号：</w:t>
      </w:r>
    </w:p>
    <w:p w14:paraId="6AC40DBB">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联系方式</w:t>
      </w:r>
      <w:r>
        <w:rPr>
          <w:rFonts w:hint="default" w:ascii="仿宋_GB2312" w:hAnsi="仿宋_GB2312" w:eastAsia="仿宋_GB2312" w:cs="仿宋_GB2312"/>
          <w:kern w:val="2"/>
          <w:sz w:val="32"/>
          <w:szCs w:val="32"/>
          <w:highlight w:val="none"/>
          <w:lang w:val="en-US" w:eastAsia="zh-CN"/>
        </w:rPr>
        <w:t xml:space="preserve">：                         </w:t>
      </w:r>
    </w:p>
    <w:p w14:paraId="667F321E">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zh-CN"/>
        </w:rPr>
        <w:t>（</w:t>
      </w:r>
      <w:r>
        <w:rPr>
          <w:rFonts w:hint="eastAsia" w:ascii="仿宋_GB2312" w:hAnsi="仿宋_GB2312" w:eastAsia="仿宋_GB2312" w:cs="仿宋_GB2312"/>
          <w:kern w:val="2"/>
          <w:sz w:val="32"/>
          <w:szCs w:val="32"/>
          <w:highlight w:val="none"/>
          <w:lang w:val="en-US" w:eastAsia="zh-CN"/>
        </w:rPr>
        <w:t>四</w:t>
      </w:r>
      <w:r>
        <w:rPr>
          <w:rFonts w:hint="eastAsia" w:ascii="仿宋_GB2312" w:hAnsi="仿宋_GB2312" w:eastAsia="仿宋_GB2312" w:cs="仿宋_GB2312"/>
          <w:kern w:val="2"/>
          <w:sz w:val="32"/>
          <w:szCs w:val="32"/>
          <w:highlight w:val="none"/>
          <w:lang w:val="zh-CN"/>
        </w:rPr>
        <w:t>）</w:t>
      </w:r>
      <w:r>
        <w:rPr>
          <w:rFonts w:hint="eastAsia" w:ascii="仿宋_GB2312" w:hAnsi="仿宋_GB2312" w:eastAsia="仿宋_GB2312" w:cs="仿宋_GB2312"/>
          <w:kern w:val="2"/>
          <w:sz w:val="32"/>
          <w:szCs w:val="32"/>
          <w:highlight w:val="none"/>
          <w:lang w:val="en-US" w:eastAsia="zh-CN"/>
        </w:rPr>
        <w:t>结算方式：每次付款前乙方应向甲方提供符合甲方要求合法有效的</w:t>
      </w:r>
      <w:r>
        <w:rPr>
          <w:rFonts w:hint="default" w:ascii="仿宋_GB2312" w:hAnsi="仿宋_GB2312" w:eastAsia="仿宋_GB2312" w:cs="仿宋_GB2312"/>
          <w:kern w:val="2"/>
          <w:sz w:val="32"/>
          <w:szCs w:val="32"/>
          <w:highlight w:val="none"/>
          <w:lang w:val="en-US" w:eastAsia="zh-CN"/>
        </w:rPr>
        <w:t>增值税普通发票</w:t>
      </w:r>
      <w:r>
        <w:rPr>
          <w:rFonts w:hint="eastAsia" w:ascii="仿宋_GB2312" w:hAnsi="仿宋_GB2312" w:eastAsia="仿宋_GB2312" w:cs="仿宋_GB2312"/>
          <w:kern w:val="2"/>
          <w:sz w:val="32"/>
          <w:szCs w:val="32"/>
          <w:highlight w:val="none"/>
          <w:lang w:val="en-US" w:eastAsia="zh-CN"/>
        </w:rPr>
        <w:t>。乙方持成交通知书、服务合同、发票，与甲方结算。</w:t>
      </w:r>
    </w:p>
    <w:p w14:paraId="7AC4FFC7">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甲方</w:t>
      </w:r>
      <w:r>
        <w:rPr>
          <w:rFonts w:hint="eastAsia" w:ascii="仿宋_GB2312" w:hAnsi="仿宋_GB2312" w:eastAsia="仿宋_GB2312" w:cs="仿宋_GB2312"/>
          <w:kern w:val="2"/>
          <w:sz w:val="32"/>
          <w:szCs w:val="32"/>
          <w:highlight w:val="none"/>
          <w:lang w:val="en-US" w:eastAsia="zh-CN"/>
        </w:rPr>
        <w:t>开</w:t>
      </w:r>
      <w:r>
        <w:rPr>
          <w:rFonts w:hint="eastAsia" w:ascii="仿宋_GB2312" w:hAnsi="仿宋_GB2312" w:eastAsia="仿宋_GB2312" w:cs="仿宋_GB2312"/>
          <w:kern w:val="2"/>
          <w:sz w:val="32"/>
          <w:szCs w:val="32"/>
          <w:highlight w:val="none"/>
          <w:lang w:val="en-US" w:eastAsia="zh-Hans"/>
        </w:rPr>
        <w:t>票信息：</w:t>
      </w:r>
      <w:bookmarkStart w:id="0" w:name="_GoBack"/>
      <w:bookmarkEnd w:id="0"/>
    </w:p>
    <w:p w14:paraId="6ABF352D">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名称：西安市应急管理局</w:t>
      </w:r>
    </w:p>
    <w:p w14:paraId="48B429B2">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统一社会代码：</w:t>
      </w:r>
    </w:p>
    <w:p w14:paraId="2DCDCD15">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开户行：</w:t>
      </w:r>
    </w:p>
    <w:p w14:paraId="19CFF3E7">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账号：</w:t>
      </w:r>
    </w:p>
    <w:p w14:paraId="2045F59C">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地址：</w:t>
      </w:r>
    </w:p>
    <w:p w14:paraId="77CCC3F5">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kern w:val="2"/>
          <w:sz w:val="32"/>
          <w:szCs w:val="32"/>
          <w:highlight w:val="none"/>
          <w:lang w:val="en-US" w:eastAsia="zh-Hans"/>
        </w:rPr>
      </w:pPr>
      <w:r>
        <w:rPr>
          <w:rFonts w:hint="eastAsia" w:ascii="仿宋_GB2312" w:hAnsi="仿宋_GB2312" w:eastAsia="仿宋_GB2312" w:cs="仿宋_GB2312"/>
          <w:kern w:val="2"/>
          <w:sz w:val="32"/>
          <w:szCs w:val="32"/>
          <w:highlight w:val="none"/>
          <w:lang w:val="en-US" w:eastAsia="zh-Hans"/>
        </w:rPr>
        <w:t>电话：</w:t>
      </w:r>
    </w:p>
    <w:p w14:paraId="1BED9745">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五、双方的权利和义务</w:t>
      </w:r>
    </w:p>
    <w:p w14:paraId="4B665998">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（一）甲方的权利和义务</w:t>
      </w:r>
    </w:p>
    <w:p w14:paraId="45E136C6">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1、甲方有权指派专门人员或者单位对乙方的工作进行全程监督检查、管理、明确员工职责范围，对工作中不负责任、违反管理规定的人员，有权提出更换要求，情况属实，乙方应予以执行。</w:t>
      </w:r>
    </w:p>
    <w:p w14:paraId="56269C6D">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2、如果乙方不按甲方规定时限完成各阶段工作任务，给甲方工作开展造成延误及损失，则甲方有权解除合同。</w:t>
      </w:r>
    </w:p>
    <w:p w14:paraId="01FE3070">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3、为保证乙方顺利履行职责，甲方应当主动、客观、真实的向乙方提供与业务有关的情况和资料，并积极解决非乙方职权范围内的事务。</w:t>
      </w:r>
    </w:p>
    <w:p w14:paraId="52485211">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4、按本合同约定向乙方支付合同价款。</w:t>
      </w:r>
    </w:p>
    <w:p w14:paraId="6788B0C1">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（二）乙方的权利和义务</w:t>
      </w:r>
    </w:p>
    <w:p w14:paraId="59F87600">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1.按合同要求向甲方派出合格的服务人员，依据岗位职责结合甲方交予的任务执行服务工作；遵守采购人制定的各项规章制度，为采购人提供保障服务。</w:t>
      </w:r>
    </w:p>
    <w:p w14:paraId="5CDB4721">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2.乙方应当严格按照国家有关法律法规政策及规定，为甲方提供服务，维护甲方的合法权益，乙方工作人员如不履行职责、不履行甲乙双方的约定，收到甲方更换通知后48小时内更换相关人员。</w:t>
      </w:r>
    </w:p>
    <w:p w14:paraId="2EC97CD8">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3.乙方不得将项目转让、分包给其它单位或个人。</w:t>
      </w:r>
    </w:p>
    <w:p w14:paraId="1D2B2A2A">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4.乙方有义务依照合同第一条约定设置救援力量。</w:t>
      </w:r>
    </w:p>
    <w:p w14:paraId="39C8F486">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5、以便及时沟通并做好服务工作，乙方每月25日报告日常工作进度，若有突发事件或特殊事宜，在该事项发生起12小时内报告，在规定时间内完成相应的项目建设及服务工作。</w:t>
      </w:r>
    </w:p>
    <w:p w14:paraId="1F5E3535">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6.甲方在工作质量、工作进度、工作内容等方面提出意见及建议，乙方自获悉时起24小时内响应并有效改进；</w:t>
      </w:r>
    </w:p>
    <w:p w14:paraId="0710B4AD">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7.在甲方未正式验收前，如政策发生变化，乙方须符合国家相应政策完善服务项目。</w:t>
      </w:r>
    </w:p>
    <w:p w14:paraId="746992FE">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8.保密协议：</w:t>
      </w:r>
    </w:p>
    <w:p w14:paraId="761CB799">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8.1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52B27885">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8.2乙方应采取有效措施对甲方提供的资料和数据实施合乎规定（该类规定包括但不限于相关的保密法律、法规、规定、通知等）的保密处理措施，并对此负责；</w:t>
      </w:r>
    </w:p>
    <w:p w14:paraId="42A11957">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8.3乙方有义务遵守和配合执行甲方的保密管理规定与保密措施，并在项目实施完成后，归还甲方提供的全部资料。</w:t>
      </w:r>
    </w:p>
    <w:p w14:paraId="042132BF">
      <w:pPr>
        <w:pStyle w:val="14"/>
        <w:keepNext w:val="0"/>
        <w:keepLines w:val="0"/>
        <w:pageBreakBefore w:val="0"/>
        <w:widowControl/>
        <w:kinsoku/>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六、质量保证</w:t>
      </w:r>
    </w:p>
    <w:p w14:paraId="7A441FFF">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（一）服务方案和方式科学、可行，人员配置合理，全面满足要求。</w:t>
      </w:r>
    </w:p>
    <w:p w14:paraId="26360E91">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（二）符合国家有关服务规范要求，确保各项服务达到最佳运行效果。</w:t>
      </w:r>
    </w:p>
    <w:p w14:paraId="23D5DD33">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（三）乙方提供的服务，除自然灾害救援等不可抗力影响下，若发生侵权而产生的后果，由乙方负责。甲方保留索赔权。</w:t>
      </w:r>
    </w:p>
    <w:p w14:paraId="71AA2002">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（四）</w:t>
      </w:r>
      <w:r>
        <w:rPr>
          <w:rFonts w:hint="default" w:ascii="仿宋_GB2312" w:hAnsi="仿宋_GB2312" w:eastAsia="仿宋_GB2312" w:cs="仿宋_GB2312"/>
          <w:kern w:val="2"/>
          <w:sz w:val="32"/>
          <w:szCs w:val="32"/>
          <w:highlight w:val="none"/>
          <w:lang w:val="en-US" w:eastAsia="zh-CN"/>
        </w:rPr>
        <w:t>服务承诺内容。</w:t>
      </w:r>
      <w:r>
        <w:rPr>
          <w:rFonts w:hint="eastAsia" w:ascii="仿宋_GB2312" w:hAnsi="仿宋_GB2312" w:eastAsia="仿宋_GB2312" w:cs="仿宋_GB2312"/>
          <w:kern w:val="2"/>
          <w:sz w:val="32"/>
          <w:szCs w:val="32"/>
          <w:highlight w:val="none"/>
          <w:lang w:val="en-US" w:eastAsia="zh-CN"/>
        </w:rPr>
        <w:t>甲方按照合同标的物内容及数量所要求的细化目标，乙方承诺做好全面落实。</w:t>
      </w:r>
    </w:p>
    <w:p w14:paraId="64BA51A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七、验收</w:t>
      </w:r>
    </w:p>
    <w:p w14:paraId="6E9AEBD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服务内容完成后先由乙方进行自检，自检合格后邀请甲方进行验收。甲方确认乙方的自检内容后，组织乙方（必要时请有关专家）进行最终验收，验收时乙方应派员参加，共同对验收结果进行确认，并承担相关责任（必要时甲方可委托具有相关资质的第三方检测机构/技术专家对项目成果进行系统验收，由此产生的相关费用由乙方承担，需要国家法定检验部门进行检验或验收的由乙方负责联系）。验收合格后，填写政府采购项目履约验收单（一式伍份）作为对服务的最终认可。</w:t>
      </w:r>
    </w:p>
    <w:p w14:paraId="3894CB2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（二）乙方向甲方提交服务实施过程中的所有资料。以便甲方日后管理和维护。</w:t>
      </w:r>
    </w:p>
    <w:p w14:paraId="4A3A9604">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（三）验收依据：</w:t>
      </w:r>
    </w:p>
    <w:p w14:paraId="4E0FCDA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1、招标文件、响应文件、澄清表（函）；</w:t>
      </w:r>
    </w:p>
    <w:p w14:paraId="49AA5259">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2、本合同及附件文本；</w:t>
      </w:r>
    </w:p>
    <w:p w14:paraId="532FCD7C">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3、国家相应的标准、规范。</w:t>
      </w:r>
    </w:p>
    <w:p w14:paraId="4D373B3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（四）验收程序：</w:t>
      </w:r>
    </w:p>
    <w:p w14:paraId="4A6FC92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1、乙方完成服务后开展自检，自检合格后向甲方提交书面验收申请及成果文件。</w:t>
      </w:r>
    </w:p>
    <w:p w14:paraId="48C97634">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2、甲方应在收到申请后30个工作日内组织验收（含第三方专家），乙方派员参加。</w:t>
      </w:r>
    </w:p>
    <w:p w14:paraId="67774F25">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3、验收结论需双方签字确认；若乙方对结果有异议，应在3日内提出，由甲方组织复验，费用由乙方承担。</w:t>
      </w:r>
    </w:p>
    <w:p w14:paraId="7272747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4、甲方逾期未组织验收视为验收合格。</w:t>
      </w:r>
    </w:p>
    <w:p w14:paraId="7F591A83">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八、违约责任</w:t>
      </w:r>
    </w:p>
    <w:p w14:paraId="257F7D5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（一）合同中未约定的，按《民法典》中的相关条款执行。</w:t>
      </w:r>
    </w:p>
    <w:p w14:paraId="2E305B37">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乙方未按合同要求提供服务或服务质量不能满足合同要求、响应文件、本项目相关文件的，甲方有权解除合同，乙方应向甲方支付合同总价款5%的违约金。同时，甲方有权将乙方违约的情况以及拟采取的措施以书面形式报政府采购监管部门，政府采购监管部门有权依据《政府采购法》及相关法律法规对乙方的违法行为进行相应的处罚。</w:t>
      </w:r>
    </w:p>
    <w:p w14:paraId="7D128EA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（三）在本合同履行过程中，双方因违约或造成对方经济、社会效益等损失的应当赔偿。</w:t>
      </w:r>
    </w:p>
    <w:p w14:paraId="63FC25A7">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（四）甲方无正当理由拒绝接受服务的，需向乙方偿付本合同总价款5%的违约金。</w:t>
      </w:r>
    </w:p>
    <w:p w14:paraId="73112D7D">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（五）乙方擅自将本合同服务分包，转包第三方承担的，甲方有权解除本合同，并要求乙方支付本合同总价款10%的违约金。造成甲方经济损失的，乙方应当承担全部赔偿责任。</w:t>
      </w:r>
    </w:p>
    <w:p w14:paraId="4F0A9564">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（六）本合同中各条款约定的违约金可自甲方未支付款项中直接扣除，违约金若不能弥补甲方损失的，乙方还应赔偿甲方损失。</w:t>
      </w:r>
    </w:p>
    <w:p w14:paraId="41387D9D">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七）乙方违反本合同第九条保密约定的，造成甲方损失或甲方向第三方赔偿的，甲方有权解除本合同，乙方应向甲方支付合同总价款10%的违约金，并赔偿由此对甲方造成的全部经济损失。本合同的解除或终止不免除乙方应承担的保密义务。</w:t>
      </w:r>
    </w:p>
    <w:p w14:paraId="3197DA00">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（八）甲、乙双方任何一方违约，除承担本合同约定的违约责任外，还应向对方支付因主张违约产生的全部费用（包括但不限于律师费、诉讼费、差旅费、保全费、保险费、鉴定费、评估费、公告费等）。</w:t>
      </w:r>
    </w:p>
    <w:p w14:paraId="3D78AC1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九、保密条款</w:t>
      </w:r>
    </w:p>
    <w:p w14:paraId="64B0A65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乙方应遵守国家有关保密的法律法规和行业规定，并对甲方提供的资料负有保密义务。乙方不得将接触或获得的任何与甲方有关信息、资料或甲方尚未对外公开的任何信息，在未经甲方许可的情况下，进行复制或用于本合作之外的任何其他目的，也不得透露给任何第三方，否则甲方有权追究乙方法律、经济责任。</w:t>
      </w:r>
    </w:p>
    <w:p w14:paraId="0B51A94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60E0148">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（三）本条款为独立条款，本合同的无效、变更、解除和终止均不影响本条款的效力。</w:t>
      </w:r>
    </w:p>
    <w:p w14:paraId="516EE7A9">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十、争议解决</w:t>
      </w:r>
    </w:p>
    <w:p w14:paraId="19FDA65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（一）本合同在履行过程中发生的争议，由甲、乙双方当事人协商解决，协商不成的按下列第1种方式解决：</w:t>
      </w:r>
    </w:p>
    <w:p w14:paraId="7F85AD71">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1．提交西安仲裁委员会仲裁；</w:t>
      </w:r>
    </w:p>
    <w:p w14:paraId="756C93F7">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2．依法向甲方所在地人民法院起诉。</w:t>
      </w:r>
    </w:p>
    <w:p w14:paraId="3737E5D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（二）本条款为独立条款，本合同的无效、变更、解除和终止均不影响本条款的效力。</w:t>
      </w:r>
    </w:p>
    <w:p w14:paraId="006E3560">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十一、合同变更</w:t>
      </w:r>
    </w:p>
    <w:p w14:paraId="0ABFECAC">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07ACE92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十二、合同生效及其他</w:t>
      </w:r>
    </w:p>
    <w:p w14:paraId="63365AEC">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1．本合同自甲乙双方法定代表人/负责人或授权代表签字并加盖单位公章之日起生效。</w:t>
      </w:r>
    </w:p>
    <w:p w14:paraId="291C4898">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2．合同一式</w:t>
      </w:r>
      <w:r>
        <w:rPr>
          <w:rFonts w:hint="eastAsia" w:ascii="仿宋_GB2312" w:hAnsi="仿宋_GB2312" w:eastAsia="仿宋_GB2312" w:cs="仿宋_GB2312"/>
          <w:kern w:val="2"/>
          <w:sz w:val="32"/>
          <w:szCs w:val="32"/>
          <w:highlight w:val="none"/>
          <w:u w:val="single"/>
          <w:lang w:val="en-US" w:eastAsia="zh-CN"/>
        </w:rPr>
        <w:t xml:space="preserve">  8  </w:t>
      </w:r>
      <w:r>
        <w:rPr>
          <w:rFonts w:hint="eastAsia" w:ascii="仿宋_GB2312" w:hAnsi="仿宋_GB2312" w:eastAsia="仿宋_GB2312" w:cs="仿宋_GB2312"/>
          <w:kern w:val="2"/>
          <w:sz w:val="32"/>
          <w:szCs w:val="32"/>
          <w:highlight w:val="none"/>
          <w:lang w:val="en-US" w:eastAsia="zh-CN"/>
        </w:rPr>
        <w:t>份，甲方、乙方、鉴证方各执</w:t>
      </w:r>
      <w:r>
        <w:rPr>
          <w:rFonts w:hint="eastAsia" w:ascii="仿宋_GB2312" w:hAnsi="仿宋_GB2312" w:eastAsia="仿宋_GB2312" w:cs="仿宋_GB2312"/>
          <w:kern w:val="2"/>
          <w:sz w:val="32"/>
          <w:szCs w:val="32"/>
          <w:highlight w:val="none"/>
          <w:u w:val="single"/>
          <w:lang w:val="en-US" w:eastAsia="zh-CN"/>
        </w:rPr>
        <w:t xml:space="preserve">  2  </w:t>
      </w:r>
      <w:r>
        <w:rPr>
          <w:rFonts w:hint="eastAsia" w:ascii="仿宋_GB2312" w:hAnsi="仿宋_GB2312" w:eastAsia="仿宋_GB2312" w:cs="仿宋_GB2312"/>
          <w:kern w:val="2"/>
          <w:sz w:val="32"/>
          <w:szCs w:val="32"/>
          <w:highlight w:val="none"/>
          <w:u w:val="none"/>
          <w:lang w:val="en-US" w:eastAsia="zh-CN"/>
        </w:rPr>
        <w:t>份</w:t>
      </w:r>
      <w:r>
        <w:rPr>
          <w:rFonts w:hint="eastAsia" w:ascii="仿宋_GB2312" w:hAnsi="仿宋_GB2312" w:eastAsia="仿宋_GB2312" w:cs="仿宋_GB2312"/>
          <w:kern w:val="2"/>
          <w:sz w:val="32"/>
          <w:szCs w:val="32"/>
          <w:highlight w:val="none"/>
          <w:lang w:val="en-US" w:eastAsia="zh-CN"/>
        </w:rPr>
        <w:t>；政府采购监管机构备案</w:t>
      </w:r>
      <w:r>
        <w:rPr>
          <w:rFonts w:hint="eastAsia" w:ascii="仿宋_GB2312" w:hAnsi="仿宋_GB2312" w:eastAsia="仿宋_GB2312" w:cs="仿宋_GB2312"/>
          <w:kern w:val="2"/>
          <w:sz w:val="32"/>
          <w:szCs w:val="32"/>
          <w:highlight w:val="none"/>
          <w:u w:val="single"/>
          <w:lang w:val="en-US" w:eastAsia="zh-CN"/>
        </w:rPr>
        <w:t xml:space="preserve">  2  </w:t>
      </w:r>
      <w:r>
        <w:rPr>
          <w:rFonts w:hint="eastAsia" w:ascii="仿宋_GB2312" w:hAnsi="仿宋_GB2312" w:eastAsia="仿宋_GB2312" w:cs="仿宋_GB2312"/>
          <w:kern w:val="2"/>
          <w:sz w:val="32"/>
          <w:szCs w:val="32"/>
          <w:highlight w:val="none"/>
          <w:lang w:val="en-US" w:eastAsia="zh-CN"/>
        </w:rPr>
        <w:t>份。</w:t>
      </w:r>
    </w:p>
    <w:p w14:paraId="27B3F1E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3．如本合同有未尽事宜，以采购文件为准，采购文件未做要求的，由双方依法订立补充合同。</w:t>
      </w:r>
    </w:p>
    <w:p w14:paraId="18FF89A2">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kern w:val="2"/>
          <w:sz w:val="32"/>
          <w:szCs w:val="32"/>
          <w:highlight w:val="none"/>
          <w:lang w:val="en-US" w:eastAsia="zh-CN"/>
        </w:rPr>
      </w:pPr>
      <w:r>
        <w:rPr>
          <w:rFonts w:hint="eastAsia" w:ascii="黑体" w:hAnsi="黑体" w:eastAsia="黑体" w:cs="黑体"/>
          <w:kern w:val="2"/>
          <w:sz w:val="32"/>
          <w:szCs w:val="32"/>
          <w:highlight w:val="none"/>
          <w:lang w:val="en-US" w:eastAsia="zh-CN"/>
        </w:rPr>
        <w:t>十三、其他事项</w:t>
      </w:r>
    </w:p>
    <w:p w14:paraId="0BBC0AFE">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（一）鉴证方作为集中采购代理机构对合同进行确认。</w:t>
      </w:r>
    </w:p>
    <w:p w14:paraId="24C84E7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（二）西安市财政局政府采购管理处在合同的履行期间以及履行期后，可以随时检查项目的执行情况，对采购标准、采购内容进行调查核实，并对发现的问题进行处理。</w:t>
      </w:r>
    </w:p>
    <w:p w14:paraId="2154A229">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（三）单一来源采购文件、单一来源采购响应文件、澄清表（函）、成交通知书、合同附件均成为合同不可分割的部分。</w:t>
      </w:r>
    </w:p>
    <w:p w14:paraId="3D3D328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四）甲乙双方因不可抗力导致本合同全部或部分不能履行时，发生不可抗力的一方应当在不可抗力发生后5天内书面通知对方，以减轻可能给对方造成的损失。因不可抗力导致本合同全部或部分不能履行时，双方各自承担其因此而造成的损失、损害。</w:t>
      </w:r>
    </w:p>
    <w:p w14:paraId="083A94A7">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（五）合同未尽事宜，由甲、乙双方协商并经鉴证方确认后签订政府采购补充合同，与原合同具有同等法律效力。</w:t>
      </w:r>
    </w:p>
    <w:p w14:paraId="55AD117B">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（六）乙方规模为大型企业（国有企业）。</w:t>
      </w:r>
    </w:p>
    <w:p w14:paraId="7DC8F7AA">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p>
    <w:p w14:paraId="08C7963F">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p>
    <w:p w14:paraId="7A19EA83">
      <w:pPr>
        <w:pStyle w:val="14"/>
        <w:keepNext w:val="0"/>
        <w:keepLines w:val="0"/>
        <w:pageBreakBefore w:val="0"/>
        <w:widowControl/>
        <w:kinsoku/>
        <w:wordWrap w:val="0"/>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（以下无正文，仅为签字盖章页）</w:t>
      </w:r>
    </w:p>
    <w:p w14:paraId="7597F125">
      <w:pPr>
        <w:pStyle w:val="14"/>
        <w:spacing w:line="360" w:lineRule="auto"/>
        <w:rPr>
          <w:rFonts w:hint="eastAsia" w:ascii="楷体_GB2312" w:hAnsi="楷体_GB2312" w:eastAsia="楷体_GB2312" w:cs="楷体_GB2312"/>
          <w:sz w:val="30"/>
          <w:szCs w:val="30"/>
          <w:highlight w:val="none"/>
          <w:lang w:val="zh-CN"/>
        </w:rPr>
      </w:pPr>
    </w:p>
    <w:tbl>
      <w:tblPr>
        <w:tblStyle w:val="12"/>
        <w:tblW w:w="9219" w:type="dxa"/>
        <w:jc w:val="center"/>
        <w:tblLayout w:type="fixed"/>
        <w:tblCellMar>
          <w:top w:w="0" w:type="dxa"/>
          <w:left w:w="108" w:type="dxa"/>
          <w:bottom w:w="0" w:type="dxa"/>
          <w:right w:w="108" w:type="dxa"/>
        </w:tblCellMar>
      </w:tblPr>
      <w:tblGrid>
        <w:gridCol w:w="3073"/>
        <w:gridCol w:w="3073"/>
        <w:gridCol w:w="3073"/>
      </w:tblGrid>
      <w:tr w14:paraId="00C79076">
        <w:tblPrEx>
          <w:tblCellMar>
            <w:top w:w="0" w:type="dxa"/>
            <w:left w:w="108" w:type="dxa"/>
            <w:bottom w:w="0" w:type="dxa"/>
            <w:right w:w="108" w:type="dxa"/>
          </w:tblCellMar>
        </w:tblPrEx>
        <w:trPr>
          <w:trHeight w:val="2259" w:hRule="exact"/>
          <w:jc w:val="center"/>
        </w:trPr>
        <w:tc>
          <w:tcPr>
            <w:tcW w:w="3073" w:type="dxa"/>
            <w:noWrap w:val="0"/>
            <w:vAlign w:val="center"/>
          </w:tcPr>
          <w:p w14:paraId="365B45DC">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default"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甲  方：西安市应急管理局</w:t>
            </w:r>
          </w:p>
        </w:tc>
        <w:tc>
          <w:tcPr>
            <w:tcW w:w="3073" w:type="dxa"/>
            <w:noWrap w:val="0"/>
            <w:vAlign w:val="center"/>
          </w:tcPr>
          <w:p w14:paraId="657FB672">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default"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乙  方：</w:t>
            </w:r>
          </w:p>
        </w:tc>
        <w:tc>
          <w:tcPr>
            <w:tcW w:w="3073" w:type="dxa"/>
            <w:noWrap w:val="0"/>
            <w:vAlign w:val="center"/>
          </w:tcPr>
          <w:p w14:paraId="6F907276">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default"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鉴证方：博标工程咨询有限公司</w:t>
            </w:r>
          </w:p>
        </w:tc>
      </w:tr>
      <w:tr w14:paraId="1D08B565">
        <w:tblPrEx>
          <w:tblCellMar>
            <w:top w:w="0" w:type="dxa"/>
            <w:left w:w="108" w:type="dxa"/>
            <w:bottom w:w="0" w:type="dxa"/>
            <w:right w:w="108" w:type="dxa"/>
          </w:tblCellMar>
        </w:tblPrEx>
        <w:trPr>
          <w:trHeight w:val="2252" w:hRule="exact"/>
          <w:jc w:val="center"/>
        </w:trPr>
        <w:tc>
          <w:tcPr>
            <w:tcW w:w="3073" w:type="dxa"/>
            <w:noWrap w:val="0"/>
            <w:vAlign w:val="center"/>
          </w:tcPr>
          <w:p w14:paraId="1337E773">
            <w:pPr>
              <w:pStyle w:val="14"/>
              <w:keepNext w:val="0"/>
              <w:keepLines w:val="0"/>
              <w:pageBreakBefore w:val="0"/>
              <w:widowControl/>
              <w:kinsoku/>
              <w:wordWrap w:val="0"/>
              <w:overflowPunct/>
              <w:topLinePunct w:val="0"/>
              <w:autoSpaceDE/>
              <w:autoSpaceDN/>
              <w:bidi w:val="0"/>
              <w:adjustRightInd/>
              <w:snapToGrid/>
              <w:spacing w:line="240" w:lineRule="auto"/>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统一社会信用代码：</w:t>
            </w:r>
          </w:p>
          <w:p w14:paraId="6A64D7FD">
            <w:pPr>
              <w:pStyle w:val="14"/>
              <w:keepNext w:val="0"/>
              <w:keepLines w:val="0"/>
              <w:pageBreakBefore w:val="0"/>
              <w:widowControl/>
              <w:kinsoku/>
              <w:wordWrap w:val="0"/>
              <w:overflowPunct/>
              <w:topLinePunct w:val="0"/>
              <w:autoSpaceDE/>
              <w:autoSpaceDN/>
              <w:bidi w:val="0"/>
              <w:adjustRightInd/>
              <w:snapToGrid/>
              <w:spacing w:line="240" w:lineRule="auto"/>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地址：</w:t>
            </w:r>
          </w:p>
          <w:p w14:paraId="5798CCCE">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 xml:space="preserve">法定代表人： </w:t>
            </w:r>
            <w:r>
              <w:rPr>
                <w:rFonts w:hint="eastAsia" w:ascii="仿宋_GB2312" w:hAnsi="仿宋_GB2312" w:eastAsia="仿宋_GB2312" w:cs="仿宋_GB2312"/>
                <w:kern w:val="2"/>
                <w:sz w:val="30"/>
                <w:szCs w:val="30"/>
                <w:highlight w:val="none"/>
                <w:lang w:val="en-US" w:eastAsia="zh-CN"/>
              </w:rPr>
              <w:tab/>
            </w:r>
          </w:p>
        </w:tc>
        <w:tc>
          <w:tcPr>
            <w:tcW w:w="3073" w:type="dxa"/>
            <w:noWrap w:val="0"/>
            <w:vAlign w:val="center"/>
          </w:tcPr>
          <w:p w14:paraId="331FF206">
            <w:pPr>
              <w:pStyle w:val="14"/>
              <w:keepNext w:val="0"/>
              <w:keepLines w:val="0"/>
              <w:pageBreakBefore w:val="0"/>
              <w:widowControl/>
              <w:kinsoku/>
              <w:wordWrap w:val="0"/>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统一社会信用代码：</w:t>
            </w:r>
          </w:p>
          <w:p w14:paraId="666334CE">
            <w:pPr>
              <w:pStyle w:val="14"/>
              <w:keepNext w:val="0"/>
              <w:keepLines w:val="0"/>
              <w:pageBreakBefore w:val="0"/>
              <w:widowControl/>
              <w:kinsoku/>
              <w:wordWrap w:val="0"/>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地址：</w:t>
            </w:r>
          </w:p>
          <w:p w14:paraId="1DE76CEB">
            <w:pPr>
              <w:pStyle w:val="14"/>
              <w:keepNext w:val="0"/>
              <w:keepLines w:val="0"/>
              <w:pageBreakBefore w:val="0"/>
              <w:widowControl/>
              <w:kinsoku/>
              <w:wordWrap w:val="0"/>
              <w:overflowPunct/>
              <w:topLinePunct w:val="0"/>
              <w:autoSpaceDE/>
              <w:autoSpaceDN/>
              <w:bidi w:val="0"/>
              <w:adjustRightInd/>
              <w:snapToGrid/>
              <w:spacing w:line="420" w:lineRule="exact"/>
              <w:jc w:val="lef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法定代表人：</w:t>
            </w:r>
          </w:p>
        </w:tc>
        <w:tc>
          <w:tcPr>
            <w:tcW w:w="3073" w:type="dxa"/>
            <w:noWrap w:val="0"/>
            <w:vAlign w:val="center"/>
          </w:tcPr>
          <w:p w14:paraId="3A5275E8">
            <w:pPr>
              <w:pStyle w:val="14"/>
              <w:keepNext w:val="0"/>
              <w:keepLines w:val="0"/>
              <w:pageBreakBefore w:val="0"/>
              <w:widowControl/>
              <w:kinsoku/>
              <w:wordWrap w:val="0"/>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统一社会信用代码：</w:t>
            </w:r>
          </w:p>
          <w:p w14:paraId="516F96E1">
            <w:pPr>
              <w:pStyle w:val="14"/>
              <w:keepNext w:val="0"/>
              <w:keepLines w:val="0"/>
              <w:pageBreakBefore w:val="0"/>
              <w:widowControl/>
              <w:kinsoku/>
              <w:wordWrap w:val="0"/>
              <w:overflowPunct/>
              <w:topLinePunct w:val="0"/>
              <w:autoSpaceDE/>
              <w:autoSpaceDN/>
              <w:bidi w:val="0"/>
              <w:adjustRightInd/>
              <w:snapToGrid/>
              <w:spacing w:line="240" w:lineRule="auto"/>
              <w:jc w:val="left"/>
              <w:textAlignment w:val="auto"/>
              <w:rPr>
                <w:rFonts w:hint="eastAsia" w:ascii="仿宋_GB2312" w:hAnsi="仿宋_GB2312" w:eastAsia="仿宋_GB2312" w:cs="仿宋_GB2312"/>
                <w:kern w:val="2"/>
                <w:sz w:val="24"/>
                <w:szCs w:val="24"/>
                <w:highlight w:val="none"/>
                <w:lang w:val="en-US" w:eastAsia="zh-CN"/>
              </w:rPr>
            </w:pPr>
            <w:r>
              <w:rPr>
                <w:rFonts w:hint="eastAsia" w:ascii="仿宋_GB2312" w:hAnsi="仿宋_GB2312" w:eastAsia="仿宋_GB2312" w:cs="仿宋_GB2312"/>
                <w:kern w:val="2"/>
                <w:sz w:val="24"/>
                <w:szCs w:val="24"/>
                <w:highlight w:val="none"/>
                <w:lang w:val="en-US" w:eastAsia="zh-CN"/>
              </w:rPr>
              <w:t>地址：</w:t>
            </w:r>
          </w:p>
          <w:p w14:paraId="6FFFF001">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法定代表人：</w:t>
            </w:r>
          </w:p>
        </w:tc>
      </w:tr>
      <w:tr w14:paraId="43AA6F39">
        <w:tblPrEx>
          <w:tblCellMar>
            <w:top w:w="0" w:type="dxa"/>
            <w:left w:w="108" w:type="dxa"/>
            <w:bottom w:w="0" w:type="dxa"/>
            <w:right w:w="108" w:type="dxa"/>
          </w:tblCellMar>
        </w:tblPrEx>
        <w:trPr>
          <w:trHeight w:val="845" w:hRule="exact"/>
          <w:jc w:val="center"/>
        </w:trPr>
        <w:tc>
          <w:tcPr>
            <w:tcW w:w="3073" w:type="dxa"/>
            <w:noWrap w:val="0"/>
            <w:vAlign w:val="center"/>
          </w:tcPr>
          <w:p w14:paraId="7D084C0B">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被授权代表：</w:t>
            </w:r>
          </w:p>
        </w:tc>
        <w:tc>
          <w:tcPr>
            <w:tcW w:w="3073" w:type="dxa"/>
            <w:noWrap w:val="0"/>
            <w:vAlign w:val="center"/>
          </w:tcPr>
          <w:p w14:paraId="0C7EE607">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被授权代表：</w:t>
            </w:r>
          </w:p>
        </w:tc>
        <w:tc>
          <w:tcPr>
            <w:tcW w:w="3073" w:type="dxa"/>
            <w:noWrap w:val="0"/>
            <w:vAlign w:val="center"/>
          </w:tcPr>
          <w:p w14:paraId="2AC2B4F8">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被授权代表：</w:t>
            </w:r>
          </w:p>
        </w:tc>
      </w:tr>
      <w:tr w14:paraId="0EC89F0B">
        <w:tblPrEx>
          <w:tblCellMar>
            <w:top w:w="0" w:type="dxa"/>
            <w:left w:w="108" w:type="dxa"/>
            <w:bottom w:w="0" w:type="dxa"/>
            <w:right w:w="108" w:type="dxa"/>
          </w:tblCellMar>
        </w:tblPrEx>
        <w:trPr>
          <w:trHeight w:val="898" w:hRule="exact"/>
          <w:jc w:val="center"/>
        </w:trPr>
        <w:tc>
          <w:tcPr>
            <w:tcW w:w="3073" w:type="dxa"/>
            <w:noWrap w:val="0"/>
            <w:vAlign w:val="center"/>
          </w:tcPr>
          <w:p w14:paraId="2FA830B7">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经办人：</w:t>
            </w:r>
          </w:p>
        </w:tc>
        <w:tc>
          <w:tcPr>
            <w:tcW w:w="3073" w:type="dxa"/>
            <w:noWrap w:val="0"/>
            <w:vAlign w:val="center"/>
          </w:tcPr>
          <w:p w14:paraId="0483E05B">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经办人：</w:t>
            </w:r>
          </w:p>
        </w:tc>
        <w:tc>
          <w:tcPr>
            <w:tcW w:w="3073" w:type="dxa"/>
            <w:noWrap w:val="0"/>
            <w:vAlign w:val="center"/>
          </w:tcPr>
          <w:p w14:paraId="1BDC8D04">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经办人：</w:t>
            </w:r>
          </w:p>
        </w:tc>
      </w:tr>
      <w:tr w14:paraId="2D8968DF">
        <w:tblPrEx>
          <w:tblCellMar>
            <w:top w:w="0" w:type="dxa"/>
            <w:left w:w="108" w:type="dxa"/>
            <w:bottom w:w="0" w:type="dxa"/>
            <w:right w:w="108" w:type="dxa"/>
          </w:tblCellMar>
        </w:tblPrEx>
        <w:trPr>
          <w:trHeight w:val="898" w:hRule="exact"/>
          <w:jc w:val="center"/>
        </w:trPr>
        <w:tc>
          <w:tcPr>
            <w:tcW w:w="3073" w:type="dxa"/>
            <w:noWrap w:val="0"/>
            <w:vAlign w:val="center"/>
          </w:tcPr>
          <w:p w14:paraId="54B63B19">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日期：</w:t>
            </w:r>
          </w:p>
        </w:tc>
        <w:tc>
          <w:tcPr>
            <w:tcW w:w="3073" w:type="dxa"/>
            <w:noWrap w:val="0"/>
            <w:vAlign w:val="center"/>
          </w:tcPr>
          <w:p w14:paraId="029C7880">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日期：</w:t>
            </w:r>
          </w:p>
        </w:tc>
        <w:tc>
          <w:tcPr>
            <w:tcW w:w="3073" w:type="dxa"/>
            <w:noWrap w:val="0"/>
            <w:vAlign w:val="center"/>
          </w:tcPr>
          <w:p w14:paraId="7CD0CA20">
            <w:pPr>
              <w:pStyle w:val="14"/>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仿宋_GB2312" w:hAnsi="仿宋_GB2312" w:eastAsia="仿宋_GB2312" w:cs="仿宋_GB2312"/>
                <w:kern w:val="2"/>
                <w:sz w:val="30"/>
                <w:szCs w:val="30"/>
                <w:highlight w:val="none"/>
                <w:lang w:val="en-US" w:eastAsia="zh-CN"/>
              </w:rPr>
            </w:pPr>
            <w:r>
              <w:rPr>
                <w:rFonts w:hint="eastAsia" w:ascii="仿宋_GB2312" w:hAnsi="仿宋_GB2312" w:eastAsia="仿宋_GB2312" w:cs="仿宋_GB2312"/>
                <w:kern w:val="2"/>
                <w:sz w:val="30"/>
                <w:szCs w:val="30"/>
                <w:highlight w:val="none"/>
                <w:lang w:val="en-US" w:eastAsia="zh-CN"/>
              </w:rPr>
              <w:t>日期：</w:t>
            </w:r>
          </w:p>
        </w:tc>
      </w:tr>
    </w:tbl>
    <w:p w14:paraId="0247C7EA">
      <w:pPr>
        <w:rPr>
          <w:rFonts w:hint="eastAsia"/>
          <w:highlight w:val="none"/>
        </w:rPr>
      </w:pPr>
    </w:p>
    <w:sectPr>
      <w:footerReference r:id="rId3" w:type="default"/>
      <w:pgSz w:w="12240" w:h="15840"/>
      <w:pgMar w:top="2098" w:right="1474" w:bottom="1984" w:left="1587" w:header="720" w:footer="964" w:gutter="0"/>
      <w:lnNumType w:countBy="0" w:distance="360"/>
      <w:pgNumType w:fmt="decimal" w:start="1"/>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32A80A-BF8C-4085-8E7A-6487EF9D7D4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D9B70C3A-05F3-476E-9493-3D64A9C5012E}"/>
  </w:font>
  <w:font w:name="仿宋_GB2312">
    <w:altName w:val="仿宋"/>
    <w:panose1 w:val="02010609030101010101"/>
    <w:charset w:val="86"/>
    <w:family w:val="auto"/>
    <w:pitch w:val="default"/>
    <w:sig w:usb0="00000000" w:usb1="00000000" w:usb2="00000000" w:usb3="00000000" w:csb0="00040000" w:csb1="00000000"/>
    <w:embedRegular r:id="rId3" w:fontKey="{8AA4E140-D4AE-4BF6-BEDF-415B7D61E2DF}"/>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C6AB6D6B-AF0D-45FE-8B1F-512978ED78B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5" w:fontKey="{E94CFA92-6CD3-4870-B3CE-5CE1D35D983D}"/>
  </w:font>
  <w:font w:name="方正仿宋_GB2312">
    <w:panose1 w:val="02000000000000000000"/>
    <w:charset w:val="86"/>
    <w:family w:val="auto"/>
    <w:pitch w:val="default"/>
    <w:sig w:usb0="A00002BF" w:usb1="184F6CFA" w:usb2="00000012" w:usb3="00000000" w:csb0="00040001" w:csb1="00000000"/>
    <w:embedRegular r:id="rId6" w:fontKey="{58329B32-53BA-4ABC-AA81-CBC58059377B}"/>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564D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7F7249">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F7F7249">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Mzc3NDgzM2VlZWNiNTVmZDJhMTFhMjQzMWY2NjEifQ=="/>
  </w:docVars>
  <w:rsids>
    <w:rsidRoot w:val="00172A27"/>
    <w:rsid w:val="017C4E0F"/>
    <w:rsid w:val="02C54CAB"/>
    <w:rsid w:val="02E828A9"/>
    <w:rsid w:val="0347655F"/>
    <w:rsid w:val="03B7215F"/>
    <w:rsid w:val="05C22869"/>
    <w:rsid w:val="064C314F"/>
    <w:rsid w:val="065B7D0E"/>
    <w:rsid w:val="06852D72"/>
    <w:rsid w:val="077E2852"/>
    <w:rsid w:val="07D653C6"/>
    <w:rsid w:val="09BA7DD5"/>
    <w:rsid w:val="0AC574AE"/>
    <w:rsid w:val="0C6831D4"/>
    <w:rsid w:val="0D77B043"/>
    <w:rsid w:val="0E2A5FE6"/>
    <w:rsid w:val="0E516A75"/>
    <w:rsid w:val="0ED537C6"/>
    <w:rsid w:val="1001144E"/>
    <w:rsid w:val="108118F8"/>
    <w:rsid w:val="10F1752E"/>
    <w:rsid w:val="130A0B0A"/>
    <w:rsid w:val="15064E11"/>
    <w:rsid w:val="15681857"/>
    <w:rsid w:val="15D373E9"/>
    <w:rsid w:val="1A312930"/>
    <w:rsid w:val="1A606D71"/>
    <w:rsid w:val="1C377A4B"/>
    <w:rsid w:val="1CC01D49"/>
    <w:rsid w:val="1D102CD1"/>
    <w:rsid w:val="1D511CE9"/>
    <w:rsid w:val="1DAE4F9B"/>
    <w:rsid w:val="1DF201DF"/>
    <w:rsid w:val="1EC04DD7"/>
    <w:rsid w:val="23300424"/>
    <w:rsid w:val="23863E92"/>
    <w:rsid w:val="23D305B4"/>
    <w:rsid w:val="243D2CCB"/>
    <w:rsid w:val="24457704"/>
    <w:rsid w:val="2448085F"/>
    <w:rsid w:val="250F3C45"/>
    <w:rsid w:val="25F64D62"/>
    <w:rsid w:val="25F91780"/>
    <w:rsid w:val="26E33204"/>
    <w:rsid w:val="271426A1"/>
    <w:rsid w:val="28317D57"/>
    <w:rsid w:val="28353075"/>
    <w:rsid w:val="29037B8D"/>
    <w:rsid w:val="29984B67"/>
    <w:rsid w:val="2B2C275F"/>
    <w:rsid w:val="2C7C2258"/>
    <w:rsid w:val="2CBB445E"/>
    <w:rsid w:val="2DA27975"/>
    <w:rsid w:val="2EB07AE5"/>
    <w:rsid w:val="305D4040"/>
    <w:rsid w:val="30DF28A0"/>
    <w:rsid w:val="3144656D"/>
    <w:rsid w:val="319B6034"/>
    <w:rsid w:val="32966211"/>
    <w:rsid w:val="32A579E2"/>
    <w:rsid w:val="33346064"/>
    <w:rsid w:val="33BD79F1"/>
    <w:rsid w:val="340F510D"/>
    <w:rsid w:val="342B6A5C"/>
    <w:rsid w:val="34BD49ED"/>
    <w:rsid w:val="358160C2"/>
    <w:rsid w:val="35D9597A"/>
    <w:rsid w:val="363E2205"/>
    <w:rsid w:val="37A64091"/>
    <w:rsid w:val="3829655F"/>
    <w:rsid w:val="3AED6AC9"/>
    <w:rsid w:val="3BC1546A"/>
    <w:rsid w:val="3C877F2A"/>
    <w:rsid w:val="3D3D3797"/>
    <w:rsid w:val="3D4A6B6C"/>
    <w:rsid w:val="3D826E7B"/>
    <w:rsid w:val="402D22A1"/>
    <w:rsid w:val="413C5593"/>
    <w:rsid w:val="41A31ADD"/>
    <w:rsid w:val="41AB10A9"/>
    <w:rsid w:val="42BA2C13"/>
    <w:rsid w:val="42D42531"/>
    <w:rsid w:val="42DA606E"/>
    <w:rsid w:val="431A39DA"/>
    <w:rsid w:val="43A3069B"/>
    <w:rsid w:val="43FC6FC6"/>
    <w:rsid w:val="440672C7"/>
    <w:rsid w:val="44A61BE3"/>
    <w:rsid w:val="44F96048"/>
    <w:rsid w:val="45533857"/>
    <w:rsid w:val="46511AE0"/>
    <w:rsid w:val="47A14ADF"/>
    <w:rsid w:val="49191EAE"/>
    <w:rsid w:val="4A093D17"/>
    <w:rsid w:val="4A8B119C"/>
    <w:rsid w:val="4B6F234F"/>
    <w:rsid w:val="4BC52D55"/>
    <w:rsid w:val="4DBA1740"/>
    <w:rsid w:val="51353881"/>
    <w:rsid w:val="517A06E1"/>
    <w:rsid w:val="5245051B"/>
    <w:rsid w:val="524A3FB4"/>
    <w:rsid w:val="52A94558"/>
    <w:rsid w:val="53876B42"/>
    <w:rsid w:val="53DD5B43"/>
    <w:rsid w:val="54AA19D8"/>
    <w:rsid w:val="54E02659"/>
    <w:rsid w:val="56C5135E"/>
    <w:rsid w:val="575E4B39"/>
    <w:rsid w:val="578A31A2"/>
    <w:rsid w:val="582C45AB"/>
    <w:rsid w:val="585D2567"/>
    <w:rsid w:val="59383B26"/>
    <w:rsid w:val="5A785436"/>
    <w:rsid w:val="5A9F4E2E"/>
    <w:rsid w:val="5CCC2A95"/>
    <w:rsid w:val="5D906E72"/>
    <w:rsid w:val="5E770480"/>
    <w:rsid w:val="5F223BC2"/>
    <w:rsid w:val="5F642CE9"/>
    <w:rsid w:val="5F947EDB"/>
    <w:rsid w:val="5FE175D9"/>
    <w:rsid w:val="5FF7446A"/>
    <w:rsid w:val="612A6F28"/>
    <w:rsid w:val="61FF668E"/>
    <w:rsid w:val="62AC6B15"/>
    <w:rsid w:val="630A6E47"/>
    <w:rsid w:val="63FF6AA5"/>
    <w:rsid w:val="64895595"/>
    <w:rsid w:val="66623D9B"/>
    <w:rsid w:val="67A3515D"/>
    <w:rsid w:val="6B2A0087"/>
    <w:rsid w:val="6BA95681"/>
    <w:rsid w:val="6C4A68BC"/>
    <w:rsid w:val="6CDC1854"/>
    <w:rsid w:val="6D7F5600"/>
    <w:rsid w:val="6EE3511C"/>
    <w:rsid w:val="708159DE"/>
    <w:rsid w:val="72781282"/>
    <w:rsid w:val="7321707D"/>
    <w:rsid w:val="73CD4163"/>
    <w:rsid w:val="762726BA"/>
    <w:rsid w:val="767A1628"/>
    <w:rsid w:val="76B77DE9"/>
    <w:rsid w:val="775A0D44"/>
    <w:rsid w:val="7A1A6674"/>
    <w:rsid w:val="7A9835E0"/>
    <w:rsid w:val="7BF11B0A"/>
    <w:rsid w:val="7C3C6582"/>
    <w:rsid w:val="7CAD759A"/>
    <w:rsid w:val="7CBD6273"/>
    <w:rsid w:val="7CE852E3"/>
    <w:rsid w:val="7D0B25B3"/>
    <w:rsid w:val="7D0E28D2"/>
    <w:rsid w:val="7D4A46C1"/>
    <w:rsid w:val="7EC53367"/>
    <w:rsid w:val="7F207CC7"/>
    <w:rsid w:val="7FA91A6A"/>
    <w:rsid w:val="7FCE7723"/>
    <w:rsid w:val="B2A7D10F"/>
    <w:rsid w:val="FE0BB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rPr>
  </w:style>
  <w:style w:type="paragraph" w:styleId="3">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paragraph" w:styleId="4">
    <w:name w:val="heading 2"/>
    <w:basedOn w:val="1"/>
    <w:next w:val="1"/>
    <w:qFormat/>
    <w:uiPriority w:val="0"/>
    <w:pPr>
      <w:keepNext/>
      <w:tabs>
        <w:tab w:val="left" w:pos="2400"/>
        <w:tab w:val="left" w:pos="6900"/>
      </w:tabs>
      <w:spacing w:line="360" w:lineRule="auto"/>
      <w:jc w:val="center"/>
      <w:outlineLvl w:val="1"/>
    </w:pPr>
    <w:rPr>
      <w:b/>
      <w:bCs/>
      <w:kern w:val="0"/>
      <w:sz w:val="32"/>
      <w:szCs w:val="21"/>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仿宋_GB2312"/>
      <w:sz w:val="32"/>
      <w:szCs w:val="20"/>
    </w:r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footer"/>
    <w:basedOn w:val="1"/>
    <w:next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2"/>
    <w:next w:val="1"/>
    <w:unhideWhenUsed/>
    <w:qFormat/>
    <w:uiPriority w:val="99"/>
    <w:pPr>
      <w:ind w:firstLine="420" w:firstLineChars="100"/>
    </w:pPr>
  </w:style>
  <w:style w:type="paragraph" w:customStyle="1" w:styleId="14">
    <w:name w:val="※正文"/>
    <w:basedOn w:val="1"/>
    <w:next w:val="1"/>
    <w:qFormat/>
    <w:uiPriority w:val="0"/>
    <w:pPr>
      <w:wordWrap w:val="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549</Words>
  <Characters>584</Characters>
  <Lines>0</Lines>
  <Paragraphs>0</Paragraphs>
  <TotalTime>0</TotalTime>
  <ScaleCrop>false</ScaleCrop>
  <LinksUpToDate>false</LinksUpToDate>
  <CharactersWithSpaces>618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2022-03-27T12:57:00Z</dcterms:created>
  <dc:creator>wenl</dc:creator>
  <cp:lastModifiedBy>博标</cp:lastModifiedBy>
  <cp:lastPrinted>2022-10-27T13:56:00Z</cp:lastPrinted>
  <dcterms:modified xsi:type="dcterms:W3CDTF">2026-04-21T03:55:24Z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8F72960262EC4EAFB4EEFF8709375981_13</vt:lpwstr>
  </property>
  <property fmtid="{D5CDD505-2E9C-101B-9397-08002B2CF9AE}" pid="4" name="KSOTemplateDocerSaveRecord">
    <vt:lpwstr>eyJoZGlkIjoiMmY0ZjE0MzAwNzM3OWVjY2Y4MjdiZDQ3NDNiM2NkZGMiLCJ1c2VySWQiOiIxMzg3NjIwMDk0In0=</vt:lpwstr>
  </property>
</Properties>
</file>