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版本号：HZ-L2026005C20260420001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中考招生咨询项目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HZ-L2026005C</w:t>
      </w:r>
      <w:r>
        <w:br/>
      </w:r>
      <w:r>
        <w:br/>
      </w:r>
      <w:r>
        <w:br/>
      </w:r>
    </w:p>
    <w:p>
      <w:pPr>
        <w:pStyle w:val="null3"/>
        <w:jc w:val="center"/>
        <w:outlineLvl w:val="2"/>
      </w:pPr>
      <w:r>
        <w:rPr>
          <w:rFonts w:ascii="仿宋_GB2312" w:hAnsi="仿宋_GB2312" w:cs="仿宋_GB2312" w:eastAsia="仿宋_GB2312"/>
          <w:sz w:val="28"/>
          <w:b/>
        </w:rPr>
        <w:t>西安教育融媒体中心（西安教育电视台）</w:t>
      </w:r>
    </w:p>
    <w:p>
      <w:pPr>
        <w:pStyle w:val="null3"/>
        <w:jc w:val="center"/>
        <w:outlineLvl w:val="2"/>
      </w:pPr>
      <w:r>
        <w:rPr>
          <w:rFonts w:ascii="仿宋_GB2312" w:hAnsi="仿宋_GB2312" w:cs="仿宋_GB2312" w:eastAsia="仿宋_GB2312"/>
          <w:sz w:val="28"/>
          <w:b/>
        </w:rPr>
        <w:t>陕西汉正项目管理有限公司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2026年04月20日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陕西汉正项目管理有限公司</w:t>
      </w:r>
      <w:r>
        <w:rPr>
          <w:rFonts w:ascii="仿宋_GB2312" w:hAnsi="仿宋_GB2312" w:cs="仿宋_GB2312" w:eastAsia="仿宋_GB2312"/>
        </w:rPr>
        <w:t>（以下简称“代理机构”）受</w:t>
      </w:r>
      <w:r>
        <w:rPr>
          <w:rFonts w:ascii="仿宋_GB2312" w:hAnsi="仿宋_GB2312" w:cs="仿宋_GB2312" w:eastAsia="仿宋_GB2312"/>
        </w:rPr>
        <w:t>西安教育融媒体中心（西安教育电视台）</w:t>
      </w:r>
      <w:r>
        <w:rPr>
          <w:rFonts w:ascii="仿宋_GB2312" w:hAnsi="仿宋_GB2312" w:cs="仿宋_GB2312" w:eastAsia="仿宋_GB2312"/>
        </w:rPr>
        <w:t>委托，拟对</w:t>
      </w:r>
      <w:r>
        <w:rPr>
          <w:rFonts w:ascii="仿宋_GB2312" w:hAnsi="仿宋_GB2312" w:cs="仿宋_GB2312" w:eastAsia="仿宋_GB2312"/>
        </w:rPr>
        <w:t>中考招生咨询项目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HZ-L2026005C</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中考招生咨询项目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安市中考招生咨询会已经成为我市中考招生工作中的一项重要工作。一直以服务全市中考学生和家长，搭建学校与学生和家长面对面交流的平台，展示我市教育系统改革创新的优秀成果，体现全市各学校的综合实力为目标，截至目前我中心已经成功举办十届，得到了广大学校、家长、学生的一致好评。本项目是通过购买第三方主场服务，保障西安市2026年中考招生咨询会的顺利进行，增进家长和考生的咨询体验。</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采购包1（中考招生咨询项目）：属于专门面向中小企业采购。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应授权合法的人员参加磋商全过程：供应商应授权合法的人员参加磋商全过程，法定代表人授权代表参加磋商的，须出具法定代表人授权委托书：法定代表人授权委托书（附法定代表人身份证复印件及被授权人身份证复印件）；法定代表人直接参加磋商只需提供法定代表人资格证明书（附法定代表人身份证复印件）；采购文件凡是法定代表人之处，非法人单位的负责人均参照执行。</w:t>
      </w:r>
    </w:p>
    <w:p>
      <w:pPr>
        <w:pStyle w:val="null3"/>
      </w:pPr>
      <w:r>
        <w:rPr>
          <w:rFonts w:ascii="仿宋_GB2312" w:hAnsi="仿宋_GB2312" w:cs="仿宋_GB2312" w:eastAsia="仿宋_GB2312"/>
        </w:rPr>
        <w:t>2、信用证明：供应商不得为“信用中国”网站(http://www.creditchina.gov.cn)列入“失信被执行人（页面跳转至“中国执行信息公开网”http://zxgk.court.gov.cn/shixin/）、重大税收违法失信主体”的供应商；不得为中国政府采购网(http://www.ccgp.gov.cn)“政府采购严重违法失信行为记录名单”中的供应商。</w:t>
      </w:r>
    </w:p>
    <w:p>
      <w:pPr>
        <w:pStyle w:val="null3"/>
      </w:pPr>
      <w:r>
        <w:rPr>
          <w:rFonts w:ascii="仿宋_GB2312" w:hAnsi="仿宋_GB2312" w:cs="仿宋_GB2312" w:eastAsia="仿宋_GB2312"/>
        </w:rPr>
        <w:t>3、供应商须为具有独立承担民事责任能力的法人、其他组织或自然人：出具合法有效的营业执照或事业单位法人证书等国家规定的相关证明，自然人参与的提供其身份证明。</w:t>
      </w:r>
    </w:p>
    <w:p>
      <w:pPr>
        <w:pStyle w:val="null3"/>
      </w:pPr>
      <w:r>
        <w:rPr>
          <w:rFonts w:ascii="仿宋_GB2312" w:hAnsi="仿宋_GB2312" w:cs="仿宋_GB2312" w:eastAsia="仿宋_GB2312"/>
        </w:rPr>
        <w:t>4、财务状况报告：供应商需提供以下三种资料中的任意一种：①提供2024或2025年度经会计师事务所或审计机构出具完整的财务审计报告（成立时间至提交响应文件截止时间不足一年的可提供成立后任意时段的资产负债表）；②响应文件递交截止时间前三个月内其基本开户银行出具的资信证明；③财政部门认可的政府采购专业担保机构出具的投标担保函。</w:t>
      </w:r>
    </w:p>
    <w:p>
      <w:pPr>
        <w:pStyle w:val="null3"/>
      </w:pPr>
      <w:r>
        <w:rPr>
          <w:rFonts w:ascii="仿宋_GB2312" w:hAnsi="仿宋_GB2312" w:cs="仿宋_GB2312" w:eastAsia="仿宋_GB2312"/>
        </w:rPr>
        <w:t>5、社保缴纳证明：提供自2025年4月1日以来已缴存的任意1个月的社会保障资金缴存单据或社保机构开具的社会保险参保缴费情况证明；依法不需要缴纳社会保障资金的供应商应提供相关证明文件。</w:t>
      </w:r>
    </w:p>
    <w:p>
      <w:pPr>
        <w:pStyle w:val="null3"/>
      </w:pPr>
      <w:r>
        <w:rPr>
          <w:rFonts w:ascii="仿宋_GB2312" w:hAnsi="仿宋_GB2312" w:cs="仿宋_GB2312" w:eastAsia="仿宋_GB2312"/>
        </w:rPr>
        <w:t>6、税收缴纳证明：提供自2025年4月1日以来已缴纳的任意1个月的依法缴纳税收的相关凭据(时间以税款所属日期为准)，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7、提供具有履行合同所必需的设备和专业技术能力的书面承诺：提供具有履行合同所必需的设备和专业技术能力的书面承诺：提供承诺函，加盖供应商公章。</w:t>
      </w:r>
    </w:p>
    <w:p>
      <w:pPr>
        <w:pStyle w:val="null3"/>
      </w:pPr>
      <w:r>
        <w:rPr>
          <w:rFonts w:ascii="仿宋_GB2312" w:hAnsi="仿宋_GB2312" w:cs="仿宋_GB2312" w:eastAsia="仿宋_GB2312"/>
        </w:rPr>
        <w:t>8、提供参加政府采购活动前三年内在经营活动中没有重大违法记录的书面声明：提供参加政府采购活动前三年内在经营活动中没有重大违法记录的书面声明：提供书面声明，加盖供应商公章。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西安教育融媒体中心（西安教育电视台）</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西安市未央区凤城七路与文景路十字西北角西安教育科研大厦</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西安教育融媒体中心（西安教育电视台）经办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029-87512307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陕西汉正项目管理有限公司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西安市雁塔区科技二路71号竹园· 天寰国际1706室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马敏 、王佳丽</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15529386950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采购包1：1,000,000.00元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代理服务费收费标准：采购代理服务费参照国家计委《招标代理服务收费管理暂行办法》（计价格[2002]1980 号）、国家发展改革委办公厅《关于招标代理服务收费有关问题的通知》（发改办价格［2003］857 号）及国家发展改革委《关于降低部分建设项目收费标准规范收费行为等有关问题的通知》（发改价格[2011]534号）规定的标准计取（以中标/成交金额结算）。 代理服务费缴纳账号：陕西汉正项目管理有限公司 账户号码:61050110771000000926 开户银行:中国建设银行股份有限公司西安科技二路支行</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西安教育融媒体中心（西安教育电视台）</w:t>
      </w:r>
      <w:r>
        <w:rPr>
          <w:rFonts w:ascii="仿宋_GB2312" w:hAnsi="仿宋_GB2312" w:cs="仿宋_GB2312" w:eastAsia="仿宋_GB2312"/>
        </w:rPr>
        <w:t>和</w:t>
      </w:r>
      <w:r>
        <w:rPr>
          <w:rFonts w:ascii="仿宋_GB2312" w:hAnsi="仿宋_GB2312" w:cs="仿宋_GB2312" w:eastAsia="仿宋_GB2312"/>
        </w:rPr>
        <w:t>陕西汉正项目管理有限公司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西安教育融媒体中心（西安教育电视台）</w:t>
      </w:r>
      <w:r>
        <w:rPr>
          <w:rFonts w:ascii="仿宋_GB2312" w:hAnsi="仿宋_GB2312" w:cs="仿宋_GB2312" w:eastAsia="仿宋_GB2312"/>
        </w:rPr>
        <w:t>负责解释。除上述磋商文件内容，其他内容由</w:t>
      </w:r>
      <w:r>
        <w:rPr>
          <w:rFonts w:ascii="仿宋_GB2312" w:hAnsi="仿宋_GB2312" w:cs="仿宋_GB2312" w:eastAsia="仿宋_GB2312"/>
        </w:rPr>
        <w:t>陕西汉正项目管理有限公司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西安教育融媒体中心（西安教育电视台）</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陕西汉正项目管理有限公司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见采购合同。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陕西汉正项目管理有限公司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陕西汉正项目管理有限公司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陕西汉正项目管理有限公司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联系人：马敏、王佳丽</w:t>
      </w:r>
    </w:p>
    <w:p>
      <w:pPr>
        <w:pStyle w:val="null3"/>
      </w:pPr>
      <w:r>
        <w:rPr>
          <w:rFonts w:ascii="仿宋_GB2312" w:hAnsi="仿宋_GB2312" w:cs="仿宋_GB2312" w:eastAsia="仿宋_GB2312"/>
        </w:rPr>
        <w:t>联系电话：15529386950</w:t>
      </w:r>
    </w:p>
    <w:p>
      <w:pPr>
        <w:pStyle w:val="null3"/>
      </w:pPr>
      <w:r>
        <w:rPr>
          <w:rFonts w:ascii="仿宋_GB2312" w:hAnsi="仿宋_GB2312" w:cs="仿宋_GB2312" w:eastAsia="仿宋_GB2312"/>
        </w:rPr>
        <w:t>地址：西安市雁塔区科技二路71号竹园· 天寰国际1706室</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市中考招生咨询会已经成为我市中考招生工作中的一项重要工作。一直以服务全市中考学生和家长，搭建学校与学生和家长面对面交流的平台，展示我市教育系统改革创新的优秀成果，体现全市各学校的综合实力为目标，截至目前我中心已经成功举办十届，得到了广大学校、家长、学生的一致好评。本项目是通过购买第三方主场服务，保障西安市2026年中考招生咨询会的顺利进行，增进家长和考生的咨询体验。</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1,000,000.00</w:t>
      </w:r>
    </w:p>
    <w:p>
      <w:pPr>
        <w:pStyle w:val="null3"/>
      </w:pPr>
      <w:r>
        <w:rPr>
          <w:rFonts w:ascii="仿宋_GB2312" w:hAnsi="仿宋_GB2312" w:cs="仿宋_GB2312" w:eastAsia="仿宋_GB2312"/>
        </w:rPr>
        <w:t>采购包最高限价（元）: 1,000,000.00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中考招生咨询</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1,000,000.00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租赁和商务服务业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标的名称：中考招生咨询</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0"/>
              </w:rPr>
              <w:t>一、项目概况</w:t>
            </w:r>
          </w:p>
          <w:p>
            <w:pPr>
              <w:pStyle w:val="null3"/>
            </w:pPr>
            <w:r>
              <w:rPr>
                <w:rFonts w:ascii="仿宋_GB2312" w:hAnsi="仿宋_GB2312" w:cs="仿宋_GB2312" w:eastAsia="仿宋_GB2312"/>
                <w:sz w:val="20"/>
              </w:rPr>
              <w:t>西安市中考招生咨询会已经成为我市中考招生工作中的一项重要工作。一直以服务全市中考学生和家长</w:t>
            </w:r>
            <w:r>
              <w:rPr>
                <w:rFonts w:ascii="仿宋_GB2312" w:hAnsi="仿宋_GB2312" w:cs="仿宋_GB2312" w:eastAsia="仿宋_GB2312"/>
                <w:sz w:val="20"/>
              </w:rPr>
              <w:t>,搭建学校与学生和家长面对面交流的平台,展示我市教育系统改革创新的优秀成果,体现全市各学校的综合实力为目标,截至目前我中心已经成功举办十届,得到了广大学校、家长、学生的一致好评。本项目是通过购买第三方主场服务,保障西安市2026年中考招生咨询会的顺利进行,增进家长和考生的咨询体验</w:t>
            </w:r>
            <w:r>
              <w:rPr>
                <w:rFonts w:ascii="仿宋_GB2312" w:hAnsi="仿宋_GB2312" w:cs="仿宋_GB2312" w:eastAsia="仿宋_GB2312"/>
                <w:sz w:val="20"/>
              </w:rPr>
              <w:t>。</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0"/>
              </w:rPr>
              <w:t>二、项目内容</w:t>
            </w:r>
          </w:p>
          <w:p>
            <w:pPr>
              <w:pStyle w:val="null3"/>
            </w:pPr>
            <w:r>
              <w:rPr>
                <w:rFonts w:ascii="仿宋_GB2312" w:hAnsi="仿宋_GB2312" w:cs="仿宋_GB2312" w:eastAsia="仿宋_GB2312"/>
                <w:sz w:val="20"/>
              </w:rPr>
              <w:t>本次项目内容为中考招生咨询会提供主场及搭建服务包括但不限于以下内容</w:t>
            </w:r>
            <w:r>
              <w:rPr>
                <w:rFonts w:ascii="仿宋_GB2312" w:hAnsi="仿宋_GB2312" w:cs="仿宋_GB2312" w:eastAsia="仿宋_GB2312"/>
                <w:sz w:val="20"/>
              </w:rPr>
              <w:t>:为咨询会编制方案、动线安排,氛围、广告、物料等展区整体规划;对接场地、安保、公安、消防、交通等做好协调工作;提供展会管理与服务,组织展务、物流、安保管理,配合交通客流疏导、布展撤展施工管理等主场工作按要求做好咨询会设计及施工搭建等</w:t>
            </w:r>
            <w:r>
              <w:rPr>
                <w:rFonts w:ascii="仿宋_GB2312" w:hAnsi="仿宋_GB2312" w:cs="仿宋_GB2312" w:eastAsia="仿宋_GB2312"/>
                <w:sz w:val="20"/>
              </w:rPr>
              <w:t>。</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sz w:val="20"/>
              </w:rPr>
              <w:t>三、服务要求</w:t>
            </w:r>
          </w:p>
          <w:p>
            <w:pPr>
              <w:pStyle w:val="null3"/>
            </w:pPr>
            <w:r>
              <w:rPr>
                <w:rFonts w:ascii="仿宋_GB2312" w:hAnsi="仿宋_GB2312" w:cs="仿宋_GB2312" w:eastAsia="仿宋_GB2312"/>
                <w:sz w:val="20"/>
              </w:rPr>
              <w:t>(一)方案制定</w:t>
            </w:r>
          </w:p>
          <w:p>
            <w:pPr>
              <w:pStyle w:val="null3"/>
            </w:pPr>
            <w:r>
              <w:rPr>
                <w:rFonts w:ascii="仿宋_GB2312" w:hAnsi="仿宋_GB2312" w:cs="仿宋_GB2312" w:eastAsia="仿宋_GB2312"/>
                <w:sz w:val="20"/>
              </w:rPr>
              <w:t>制定咨询会所需要的展区规划、人流动线等方案</w:t>
            </w:r>
            <w:r>
              <w:rPr>
                <w:rFonts w:ascii="仿宋_GB2312" w:hAnsi="仿宋_GB2312" w:cs="仿宋_GB2312" w:eastAsia="仿宋_GB2312"/>
                <w:sz w:val="20"/>
              </w:rPr>
              <w:t>,编制安保申报资料并协助采购人完成安保申报手续;</w:t>
            </w:r>
          </w:p>
          <w:p>
            <w:pPr>
              <w:pStyle w:val="null3"/>
            </w:pPr>
            <w:r>
              <w:rPr>
                <w:rFonts w:ascii="仿宋_GB2312" w:hAnsi="仿宋_GB2312" w:cs="仿宋_GB2312" w:eastAsia="仿宋_GB2312"/>
                <w:sz w:val="20"/>
              </w:rPr>
              <w:t>(二)主场服务</w:t>
            </w:r>
          </w:p>
          <w:p>
            <w:pPr>
              <w:pStyle w:val="null3"/>
            </w:pPr>
            <w:r>
              <w:rPr>
                <w:rFonts w:ascii="仿宋_GB2312" w:hAnsi="仿宋_GB2312" w:cs="仿宋_GB2312" w:eastAsia="仿宋_GB2312"/>
                <w:sz w:val="20"/>
              </w:rPr>
              <w:t>开展与主场服务相关的一切业务</w:t>
            </w:r>
            <w:r>
              <w:rPr>
                <w:rFonts w:ascii="仿宋_GB2312" w:hAnsi="仿宋_GB2312" w:cs="仿宋_GB2312" w:eastAsia="仿宋_GB2312"/>
                <w:sz w:val="20"/>
              </w:rPr>
              <w:t>,并在满足主办方需求的前提下,为主办方和参展商提供高效高质的现场运营管理服务 并需承担服务的各种责任。包括但不限于:展前收集、审核参展商资料,场馆对接,提供报馆资料,组织布展报道,安全管理,施工管理,氛围搭建,物料制作,现场服务,展具拆除管理,场馆验收交接等;</w:t>
            </w:r>
          </w:p>
          <w:p>
            <w:pPr>
              <w:pStyle w:val="null3"/>
            </w:pPr>
            <w:r>
              <w:rPr>
                <w:rFonts w:ascii="仿宋_GB2312" w:hAnsi="仿宋_GB2312" w:cs="仿宋_GB2312" w:eastAsia="仿宋_GB2312"/>
                <w:sz w:val="20"/>
              </w:rPr>
              <w:t>(三)设计服务</w:t>
            </w:r>
          </w:p>
          <w:p>
            <w:pPr>
              <w:pStyle w:val="null3"/>
            </w:pPr>
            <w:r>
              <w:rPr>
                <w:rFonts w:ascii="仿宋_GB2312" w:hAnsi="仿宋_GB2312" w:cs="仿宋_GB2312" w:eastAsia="仿宋_GB2312"/>
                <w:sz w:val="20"/>
              </w:rPr>
              <w:t>负责</w:t>
            </w:r>
            <w:r>
              <w:rPr>
                <w:rFonts w:ascii="仿宋_GB2312" w:hAnsi="仿宋_GB2312" w:cs="仿宋_GB2312" w:eastAsia="仿宋_GB2312"/>
                <w:sz w:val="20"/>
              </w:rPr>
              <w:t>“西安市中考招生咨询会整体规划及整体形象等设计服务,包括但不限于:会场规划、人流动线、氛围营造、会标布展图等各类宣传及物料设计等;</w:t>
            </w:r>
          </w:p>
          <w:p>
            <w:pPr>
              <w:pStyle w:val="null3"/>
            </w:pPr>
            <w:r>
              <w:rPr>
                <w:rFonts w:ascii="仿宋_GB2312" w:hAnsi="仿宋_GB2312" w:cs="仿宋_GB2312" w:eastAsia="仿宋_GB2312"/>
                <w:sz w:val="20"/>
              </w:rPr>
              <w:t>(四)广告位租赁制作</w:t>
            </w:r>
          </w:p>
          <w:p>
            <w:pPr>
              <w:pStyle w:val="null3"/>
            </w:pPr>
            <w:r>
              <w:rPr>
                <w:rFonts w:ascii="仿宋_GB2312" w:hAnsi="仿宋_GB2312" w:cs="仿宋_GB2312" w:eastAsia="仿宋_GB2312"/>
                <w:sz w:val="20"/>
              </w:rPr>
              <w:t>负责联系场地方协调咨询会需要的的宣传广告位的租赁和制作等</w:t>
            </w:r>
            <w:r>
              <w:rPr>
                <w:rFonts w:ascii="仿宋_GB2312" w:hAnsi="仿宋_GB2312" w:cs="仿宋_GB2312" w:eastAsia="仿宋_GB2312"/>
                <w:sz w:val="20"/>
              </w:rPr>
              <w:t>;</w:t>
            </w:r>
          </w:p>
          <w:p>
            <w:pPr>
              <w:pStyle w:val="null3"/>
            </w:pPr>
            <w:r>
              <w:rPr>
                <w:rFonts w:ascii="仿宋_GB2312" w:hAnsi="仿宋_GB2312" w:cs="仿宋_GB2312" w:eastAsia="仿宋_GB2312"/>
                <w:sz w:val="20"/>
              </w:rPr>
              <w:t>（五）导视、氛围营造</w:t>
            </w:r>
          </w:p>
          <w:p>
            <w:pPr>
              <w:pStyle w:val="null3"/>
            </w:pPr>
            <w:r>
              <w:rPr>
                <w:rFonts w:ascii="仿宋_GB2312" w:hAnsi="仿宋_GB2312" w:cs="仿宋_GB2312" w:eastAsia="仿宋_GB2312"/>
                <w:sz w:val="20"/>
              </w:rPr>
              <w:t>负责制作室内外及车库的导引指示、主题展示展板、指示</w:t>
            </w:r>
            <w:r>
              <w:rPr>
                <w:rFonts w:ascii="仿宋_GB2312" w:hAnsi="仿宋_GB2312" w:cs="仿宋_GB2312" w:eastAsia="仿宋_GB2312"/>
                <w:sz w:val="20"/>
              </w:rPr>
              <w:t>牌等</w:t>
            </w:r>
            <w:r>
              <w:rPr>
                <w:rFonts w:ascii="仿宋_GB2312" w:hAnsi="仿宋_GB2312" w:cs="仿宋_GB2312" w:eastAsia="仿宋_GB2312"/>
                <w:sz w:val="20"/>
              </w:rPr>
              <w:t>;</w:t>
            </w:r>
          </w:p>
          <w:p>
            <w:pPr>
              <w:pStyle w:val="null3"/>
            </w:pPr>
            <w:r>
              <w:rPr>
                <w:rFonts w:ascii="仿宋_GB2312" w:hAnsi="仿宋_GB2312" w:cs="仿宋_GB2312" w:eastAsia="仿宋_GB2312"/>
                <w:sz w:val="20"/>
              </w:rPr>
              <w:t>(六)安检及其他物料制作</w:t>
            </w:r>
          </w:p>
          <w:p>
            <w:pPr>
              <w:pStyle w:val="null3"/>
            </w:pPr>
            <w:r>
              <w:rPr>
                <w:rFonts w:ascii="仿宋_GB2312" w:hAnsi="仿宋_GB2312" w:cs="仿宋_GB2312" w:eastAsia="仿宋_GB2312"/>
                <w:sz w:val="20"/>
              </w:rPr>
              <w:t>协调会标、安检系统、电费、网费及部分现场物料制作</w:t>
            </w:r>
            <w:r>
              <w:rPr>
                <w:rFonts w:ascii="仿宋_GB2312" w:hAnsi="仿宋_GB2312" w:cs="仿宋_GB2312" w:eastAsia="仿宋_GB2312"/>
                <w:sz w:val="20"/>
              </w:rPr>
              <w:t>;</w:t>
            </w:r>
          </w:p>
          <w:p>
            <w:pPr>
              <w:pStyle w:val="null3"/>
            </w:pPr>
            <w:r>
              <w:rPr>
                <w:rFonts w:ascii="仿宋_GB2312" w:hAnsi="仿宋_GB2312" w:cs="仿宋_GB2312" w:eastAsia="仿宋_GB2312"/>
                <w:sz w:val="20"/>
              </w:rPr>
              <w:t>(七)特装展位搭建</w:t>
            </w:r>
          </w:p>
          <w:p>
            <w:pPr>
              <w:pStyle w:val="null3"/>
            </w:pPr>
            <w:r>
              <w:rPr>
                <w:rFonts w:ascii="仿宋_GB2312" w:hAnsi="仿宋_GB2312" w:cs="仿宋_GB2312" w:eastAsia="仿宋_GB2312"/>
                <w:sz w:val="20"/>
              </w:rPr>
              <w:t>服务商根据采购人提供的数量及要求搭建特装展位</w:t>
            </w:r>
            <w:r>
              <w:rPr>
                <w:rFonts w:ascii="仿宋_GB2312" w:hAnsi="仿宋_GB2312" w:cs="仿宋_GB2312" w:eastAsia="仿宋_GB2312"/>
                <w:sz w:val="20"/>
              </w:rPr>
              <w:t>,每个展位面积为36平米;</w:t>
            </w:r>
          </w:p>
          <w:p>
            <w:pPr>
              <w:pStyle w:val="null3"/>
            </w:pPr>
            <w:r>
              <w:rPr>
                <w:rFonts w:ascii="仿宋_GB2312" w:hAnsi="仿宋_GB2312" w:cs="仿宋_GB2312" w:eastAsia="仿宋_GB2312"/>
                <w:sz w:val="20"/>
              </w:rPr>
              <w:t>(八)标准展位搭建</w:t>
            </w:r>
          </w:p>
          <w:p>
            <w:pPr>
              <w:pStyle w:val="null3"/>
            </w:pPr>
            <w:r>
              <w:rPr>
                <w:rFonts w:ascii="仿宋_GB2312" w:hAnsi="仿宋_GB2312" w:cs="仿宋_GB2312" w:eastAsia="仿宋_GB2312"/>
                <w:sz w:val="20"/>
              </w:rPr>
              <w:t>服务商根据采购人提供的数量及要求搭建标准展位或标改异展位</w:t>
            </w:r>
            <w:r>
              <w:rPr>
                <w:rFonts w:ascii="仿宋_GB2312" w:hAnsi="仿宋_GB2312" w:cs="仿宋_GB2312" w:eastAsia="仿宋_GB2312"/>
                <w:sz w:val="20"/>
              </w:rPr>
              <w:t>;</w:t>
            </w:r>
          </w:p>
          <w:p>
            <w:pPr>
              <w:pStyle w:val="null3"/>
            </w:pPr>
            <w:r>
              <w:rPr>
                <w:rFonts w:ascii="仿宋_GB2312" w:hAnsi="仿宋_GB2312" w:cs="仿宋_GB2312" w:eastAsia="仿宋_GB2312"/>
                <w:sz w:val="20"/>
              </w:rPr>
              <w:t>(九)综合展示区搭建</w:t>
            </w:r>
          </w:p>
          <w:p>
            <w:pPr>
              <w:pStyle w:val="null3"/>
            </w:pPr>
            <w:r>
              <w:rPr>
                <w:rFonts w:ascii="仿宋_GB2312" w:hAnsi="仿宋_GB2312" w:cs="仿宋_GB2312" w:eastAsia="仿宋_GB2312"/>
                <w:sz w:val="20"/>
              </w:rPr>
              <w:t>服务商根据主办方需求搭建满足使用的学校综合展示区</w:t>
            </w:r>
            <w:r>
              <w:rPr>
                <w:rFonts w:ascii="仿宋_GB2312" w:hAnsi="仿宋_GB2312" w:cs="仿宋_GB2312" w:eastAsia="仿宋_GB2312"/>
                <w:sz w:val="20"/>
              </w:rPr>
              <w:t>;</w:t>
            </w:r>
          </w:p>
          <w:p>
            <w:pPr>
              <w:pStyle w:val="null3"/>
            </w:pPr>
            <w:r>
              <w:rPr>
                <w:rFonts w:ascii="仿宋_GB2312" w:hAnsi="仿宋_GB2312" w:cs="仿宋_GB2312" w:eastAsia="仿宋_GB2312"/>
                <w:sz w:val="20"/>
              </w:rPr>
              <w:t>(十)其他</w:t>
            </w:r>
          </w:p>
          <w:p>
            <w:pPr>
              <w:pStyle w:val="null3"/>
            </w:pPr>
            <w:r>
              <w:rPr>
                <w:rFonts w:ascii="仿宋_GB2312" w:hAnsi="仿宋_GB2312" w:cs="仿宋_GB2312" w:eastAsia="仿宋_GB2312"/>
                <w:sz w:val="20"/>
              </w:rPr>
              <w:t>现场执行期间服务商依据咨询会临时性需求</w:t>
            </w:r>
            <w:r>
              <w:rPr>
                <w:rFonts w:ascii="仿宋_GB2312" w:hAnsi="仿宋_GB2312" w:cs="仿宋_GB2312" w:eastAsia="仿宋_GB2312"/>
                <w:sz w:val="20"/>
              </w:rPr>
              <w:t>,完成各项工作,保障咨询会的顺利进行;</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numPr>
                <w:ilvl w:val="0"/>
                <w:numId w:val="1"/>
              </w:numPr>
            </w:pPr>
            <w:r>
              <w:rPr>
                <w:rFonts w:ascii="仿宋_GB2312" w:hAnsi="仿宋_GB2312" w:cs="仿宋_GB2312" w:eastAsia="仿宋_GB2312"/>
                <w:sz w:val="20"/>
              </w:rPr>
              <w:t>四、服务承诺</w:t>
            </w:r>
          </w:p>
          <w:p>
            <w:pPr>
              <w:pStyle w:val="null3"/>
            </w:pPr>
            <w:r>
              <w:rPr>
                <w:rFonts w:ascii="仿宋_GB2312" w:hAnsi="仿宋_GB2312" w:cs="仿宋_GB2312" w:eastAsia="仿宋_GB2312"/>
                <w:sz w:val="20"/>
              </w:rPr>
              <w:t>(一)主场服务公司在咨询会前期准备及执行期间,应对响应文件中载明的或未载明的所有不可预见因素产生的风险已有足够的且充分的考虑,对于特殊状况和施工安全方面应有充分的保障措施。项目文件或其补充文件等尚未详尽的内容,服务商可根据需要在商务谈判期间进行补充完善工作;</w:t>
            </w:r>
          </w:p>
          <w:p>
            <w:pPr>
              <w:pStyle w:val="null3"/>
            </w:pPr>
            <w:r>
              <w:rPr>
                <w:rFonts w:ascii="仿宋_GB2312" w:hAnsi="仿宋_GB2312" w:cs="仿宋_GB2312" w:eastAsia="仿宋_GB2312"/>
                <w:sz w:val="20"/>
              </w:rPr>
              <w:t>(二)服务商必须遵守场馆管理规定及相关要求,设专职现场安全责任人,对现场进行全面安全监督管理;</w:t>
            </w:r>
          </w:p>
          <w:p>
            <w:pPr>
              <w:pStyle w:val="null3"/>
            </w:pPr>
            <w:r>
              <w:rPr>
                <w:rFonts w:ascii="仿宋_GB2312" w:hAnsi="仿宋_GB2312" w:cs="仿宋_GB2312" w:eastAsia="仿宋_GB2312"/>
                <w:sz w:val="20"/>
              </w:rPr>
              <w:t>(三)服务商必须严格遵守国家相关行业规定和展馆消防、安全部门规定,保质保量,杜绝安全问题发生,若发生施工安全问题导致的所有问题,由服务商负责进行现场处理并承担全部经济和法律责任;</w:t>
            </w:r>
          </w:p>
          <w:p>
            <w:pPr>
              <w:pStyle w:val="null3"/>
            </w:pPr>
            <w:r>
              <w:rPr>
                <w:rFonts w:ascii="仿宋_GB2312" w:hAnsi="仿宋_GB2312" w:cs="仿宋_GB2312" w:eastAsia="仿宋_GB2312"/>
                <w:sz w:val="20"/>
              </w:rPr>
              <w:t>(四)服务商应配合展馆管理人员对展会进行数据统计,如实填写相关数据报告;</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配置能够满足采购需求的相应人员。</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配置能够满足采购需求的相应设施设备。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本项目采购标的所属行业为租赁和商务服务业。 从业人员300人以下或资产总额120000万元以下的为中小微型企业。其中，从业人员100人及以上，且资产总额8000万元及以上的为中型企业；从业人员10人及以上，且资产总额100万元及以上的为小型企业；从业人员10人以下或资产总额100万元以下的为微型企业。</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从签订合同之日起至2026年中考招生咨询会结束。</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西安国际会展中心</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（一）项目完成后，由甲方和乙方共同对项目进行整体验收。 （二）其内容包括乙方是否按照甲方要求进行服务、是否在规定时间内服务完毕、服务工作是否存在失误。验收合格后，填写政府采购项目验收单、验收报告作为对本服务的最终认可。 （三）乙方向甲方提供服务过程中的所有相关资料,以便甲方日后管理。 （四）验收依据为竞争性磋商文件、磋商响应文件、澄清表（函）、政府采购合同及附件文本、国家相应的标准、规范。（五）按照采购人要求，依据会展行业规范，确保中考招生咨询会安全闭幕。</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合同签订之后</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在进场布展前</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询会结束验收完成</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一、违约责任 （一）违约责任按《中华人民共和国民法典》处理中的相关条款执行。 （二）乙方应按合同约定时间完成各阶段合同义务，若发生延迟，乙方应向甲方支付合同总价款10%的违约金，且甲方有权单方解除本合同。但甲方书面同意延迟或因甲方原因导致延迟的，乙方不承担违约责任。（三）本次活动因乙方原因导致侵害甲方或第三方合法权益的，应由乙方承担相应赔偿责任，并向甲方支付合同总价款10%的违约金。（四）若乙方未经甲方同意泄露本合同约定的任何秘密信息的，乙方应按照合同总价款的10%向甲方支付违约金，并赔偿因此给甲方造成的损失。（五）乙方保证向甲方开具发票的真实性、合法性，若乙方向甲方开具的发票存在真实性、合法性问题，给甲方造成损失的，乙方应按合同总价款的10%向甲方支付违约金，违约金不足以弥补损失的，乙方还应承担相应赔偿责任； 二、争议解决 执行本合同过程中发生争议，应友好协商解决，协商不成的，任何一方可到甲方所在地人民法院提起诉讼。</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1.成交供应商在采购结果发布后3个工作日内向代理机构提交纸质版响应文件以便于存档，响应文件正本1份，副本2份。纸质响应文件均须A4纸打印，分别各自装订成册并编制目录和页码。 2.线下递交响应文件地点：西安市雁塔区科技二路71号竹园·天寰国际1706室。 3.如磋商文件中融资相关内容与新政策要求有出入，按照最新要求执行。 4.依据西安市财政局《关于印发〈西安市预算单位政府采购主体责任清单〉的通知》（市财函〔2026〕123 号）相关要求，采购人与中标（成交）供应商应在中标（成交）通知书发出之日起 25 日内签订政府采购合同。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提供以下三种资料中的任意一种：①提供2024或2025年度经会计师事务所或审计机构出具完整的财务审计报告（成立时间至提交响应文件截止时间不足一年的可提供成立后任意时段的资产负债表）；②响应文件递交截止时间前三个月内其基本开户银行出具的资信证明；③财政部门认可的政府采购专业担保机构出具的投标担保函。</w:t>
            </w:r>
          </w:p>
        </w:tc>
        <w:tc>
          <w:tcPr>
            <w:tcW w:type="dxa" w:w="1661"/>
          </w:tcPr>
          <w:p>
            <w:pPr>
              <w:pStyle w:val="null3"/>
            </w:pPr>
            <w:r>
              <w:rPr>
                <w:rFonts w:ascii="仿宋_GB2312" w:hAnsi="仿宋_GB2312" w:cs="仿宋_GB2312" w:eastAsia="仿宋_GB2312"/>
              </w:rPr>
              <w:t>11.一般资格要求及特殊资格要求.docx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供应商应授权合法的人员参加磋商全过程</w:t>
            </w:r>
          </w:p>
        </w:tc>
        <w:tc>
          <w:tcPr>
            <w:tcW w:type="dxa" w:w="3322"/>
          </w:tcPr>
          <w:p>
            <w:pPr>
              <w:pStyle w:val="null3"/>
            </w:pPr>
            <w:r>
              <w:rPr>
                <w:rFonts w:ascii="仿宋_GB2312" w:hAnsi="仿宋_GB2312" w:cs="仿宋_GB2312" w:eastAsia="仿宋_GB2312"/>
              </w:rPr>
              <w:t>供应商应授权合法的人员参加磋商全过程，法定代表人授权代表参加磋商的，须出具法定代表人授权委托书：法定代表人授权委托书（附法定代表人身份证复印件及被授权人身份证复印件）；法定代表人直接参加磋商只需提供法定代表人资格证明书（附法定代表人身份证复印件）；采购文件凡是法定代表人之处，非法人单位的负责人均参照执行。</w:t>
            </w:r>
          </w:p>
        </w:tc>
        <w:tc>
          <w:tcPr>
            <w:tcW w:type="dxa" w:w="1661"/>
          </w:tcPr>
          <w:p>
            <w:pPr>
              <w:pStyle w:val="null3"/>
            </w:pPr>
            <w:r>
              <w:rPr>
                <w:rFonts w:ascii="仿宋_GB2312" w:hAnsi="仿宋_GB2312" w:cs="仿宋_GB2312" w:eastAsia="仿宋_GB2312"/>
              </w:rPr>
              <w:t>11.一般资格要求及特殊资格要求.docx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信用证明</w:t>
            </w:r>
          </w:p>
        </w:tc>
        <w:tc>
          <w:tcPr>
            <w:tcW w:type="dxa" w:w="3322"/>
          </w:tcPr>
          <w:p>
            <w:pPr>
              <w:pStyle w:val="null3"/>
            </w:pPr>
            <w:r>
              <w:rPr>
                <w:rFonts w:ascii="仿宋_GB2312" w:hAnsi="仿宋_GB2312" w:cs="仿宋_GB2312" w:eastAsia="仿宋_GB2312"/>
              </w:rPr>
              <w:t>供应商不得为“信用中国”网站(http://www.creditchina.gov.cn)列入“失信被执行人（页面跳转至“中国执行信息公开网”http://zxgk.court.gov.cn/shixin/）、重大税收违法失信主体”的供应商；不得为中国政府采购网(http://www.ccgp.gov.cn)“政府采购严重违法失信行为记录名单”中的供应商。</w:t>
            </w:r>
          </w:p>
        </w:tc>
        <w:tc>
          <w:tcPr>
            <w:tcW w:type="dxa" w:w="1661"/>
          </w:tcPr>
          <w:p>
            <w:pPr>
              <w:pStyle w:val="null3"/>
            </w:pPr>
            <w:r>
              <w:rPr>
                <w:rFonts w:ascii="仿宋_GB2312" w:hAnsi="仿宋_GB2312" w:cs="仿宋_GB2312" w:eastAsia="仿宋_GB2312"/>
              </w:rPr>
              <w:t>11.一般资格要求及特殊资格要求.docx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供应商须为具有独立承担民事责任能力的法人、其他组织或自然人</w:t>
            </w:r>
          </w:p>
        </w:tc>
        <w:tc>
          <w:tcPr>
            <w:tcW w:type="dxa" w:w="3322"/>
          </w:tcPr>
          <w:p>
            <w:pPr>
              <w:pStyle w:val="null3"/>
            </w:pPr>
            <w:r>
              <w:rPr>
                <w:rFonts w:ascii="仿宋_GB2312" w:hAnsi="仿宋_GB2312" w:cs="仿宋_GB2312" w:eastAsia="仿宋_GB2312"/>
              </w:rPr>
              <w:t>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11.一般资格要求及特殊资格要求.docx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供应商需提供以下三种资料中的任意一种：①提供2024或2025年度经会计师事务所或审计机构出具完整的财务审计报告（成立时间至提交响应文件截止时间不足一年的可提供成立后任意时段的资产负债表）；②响应文件递交截止时间前三个月内其基本开户银行出具的资信证明；③财政部门认可的政府采购专业担保机构出具的投标担保函。</w:t>
            </w:r>
          </w:p>
        </w:tc>
        <w:tc>
          <w:tcPr>
            <w:tcW w:type="dxa" w:w="1661"/>
          </w:tcPr>
          <w:p>
            <w:pPr>
              <w:pStyle w:val="null3"/>
            </w:pPr>
            <w:r>
              <w:rPr>
                <w:rFonts w:ascii="仿宋_GB2312" w:hAnsi="仿宋_GB2312" w:cs="仿宋_GB2312" w:eastAsia="仿宋_GB2312"/>
              </w:rPr>
              <w:t>11.一般资格要求及特殊资格要求.docx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提供自2025年4月1日以来已缴存的任意1个月的社会保障资金缴存单据或社保机构开具的社会保险参保缴费情况证明；依法不需要缴纳社会保障资金的供应商应提供相关证明文件。</w:t>
            </w:r>
          </w:p>
        </w:tc>
        <w:tc>
          <w:tcPr>
            <w:tcW w:type="dxa" w:w="1661"/>
          </w:tcPr>
          <w:p>
            <w:pPr>
              <w:pStyle w:val="null3"/>
            </w:pPr>
            <w:r>
              <w:rPr>
                <w:rFonts w:ascii="仿宋_GB2312" w:hAnsi="仿宋_GB2312" w:cs="仿宋_GB2312" w:eastAsia="仿宋_GB2312"/>
              </w:rPr>
              <w:t>11.一般资格要求及特殊资格要求.docx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提供自2025年4月1日以来已缴纳的任意1个月的依法缴纳税收的相关凭据(时间以税款所属日期为准)，凭据应有税务机关或代收机关的公章或业务专用章；依法免税或无须缴纳税收的供应商，应提供相应证明文件。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11.一般资格要求及特殊资格要求.docx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提供具有履行合同所必需的设备和专业技术能力的书面承诺</w:t>
            </w:r>
          </w:p>
        </w:tc>
        <w:tc>
          <w:tcPr>
            <w:tcW w:type="dxa" w:w="3322"/>
          </w:tcPr>
          <w:p>
            <w:pPr>
              <w:pStyle w:val="null3"/>
            </w:pPr>
            <w:r>
              <w:rPr>
                <w:rFonts w:ascii="仿宋_GB2312" w:hAnsi="仿宋_GB2312" w:cs="仿宋_GB2312" w:eastAsia="仿宋_GB2312"/>
              </w:rPr>
              <w:t>提供具有履行合同所必需的设备和专业技术能力的书面承诺：提供承诺函，加盖供应商公章。</w:t>
            </w:r>
          </w:p>
        </w:tc>
        <w:tc>
          <w:tcPr>
            <w:tcW w:type="dxa" w:w="1661"/>
          </w:tcPr>
          <w:p>
            <w:pPr>
              <w:pStyle w:val="null3"/>
            </w:pPr>
            <w:r>
              <w:rPr>
                <w:rFonts w:ascii="仿宋_GB2312" w:hAnsi="仿宋_GB2312" w:cs="仿宋_GB2312" w:eastAsia="仿宋_GB2312"/>
              </w:rPr>
              <w:t>11.一般资格要求及特殊资格要求.docx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提供参加政府采购活动前三年内在经营活动中没有重大违法记录的书面声明：提供书面声明，加盖供应商公章。</w:t>
            </w:r>
          </w:p>
        </w:tc>
        <w:tc>
          <w:tcPr>
            <w:tcW w:type="dxa" w:w="1661"/>
          </w:tcPr>
          <w:p>
            <w:pPr>
              <w:pStyle w:val="null3"/>
            </w:pPr>
            <w:r>
              <w:rPr>
                <w:rFonts w:ascii="仿宋_GB2312" w:hAnsi="仿宋_GB2312" w:cs="仿宋_GB2312" w:eastAsia="仿宋_GB2312"/>
              </w:rPr>
              <w:t>11.一般资格要求及特殊资格要求.docx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符合磋商文件签署盖章要求</w:t>
            </w:r>
          </w:p>
        </w:tc>
        <w:tc>
          <w:tcPr>
            <w:tcW w:type="dxa" w:w="1661"/>
          </w:tcPr>
          <w:p>
            <w:pPr>
              <w:pStyle w:val="null3"/>
            </w:pPr>
            <w:r>
              <w:rPr>
                <w:rFonts w:ascii="仿宋_GB2312" w:hAnsi="仿宋_GB2312" w:cs="仿宋_GB2312" w:eastAsia="仿宋_GB2312"/>
              </w:rPr>
              <w:t>11.一般资格要求及特殊资格要求.docx 2.商务要求偏离表.docx 中小企业声明函 6.服务质量及进度计划保障措施.docx 10.业绩.docx 5.展会设计方案.docx 报价表 3.项目总体理解及规划.docx 8.团队人员配备.docx 14.陕西省政府采购供应商拒绝政府采购领域商业贿赂承诺书.docx 13.供应商企业关系关联承诺书.docx 7.安全保障措施及应急预案.docx 1.服务要求应答表.docx 响应文件封面 残疾人福利性单位声明函 12.供应商廉洁自律承诺书.docx 4.项目实施方案.docx 标的清单 9.后期服务方案.docx 15.其他材料及供应商认为有必要说明、阐述的事项.docx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从递交响应文件的截止之日起算不少于90个日历天</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2.商务要求偏离表.docx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其他要求</w:t>
            </w:r>
          </w:p>
        </w:tc>
        <w:tc>
          <w:tcPr>
            <w:tcW w:type="dxa" w:w="3322"/>
          </w:tcPr>
          <w:p>
            <w:pPr>
              <w:pStyle w:val="null3"/>
            </w:pPr>
            <w:r>
              <w:rPr>
                <w:rFonts w:ascii="仿宋_GB2312" w:hAnsi="仿宋_GB2312" w:cs="仿宋_GB2312" w:eastAsia="仿宋_GB2312"/>
              </w:rPr>
              <w:t>1.响应内容出现漏项或数量与要求不符；2.要求全面响应磋商文件，不能有任何采购人不能接受的附加条件；3.规定不接受选择方案和选择报价（包括交叉折扣）的，供应商提供了选择方案/或选择报价（包括交叉折扣）；4.提供虚假证明，开具虚假资质，出现虚假应答。</w:t>
            </w:r>
          </w:p>
        </w:tc>
        <w:tc>
          <w:tcPr>
            <w:tcW w:type="dxa" w:w="1661"/>
          </w:tcPr>
          <w:p>
            <w:pPr>
              <w:pStyle w:val="null3"/>
            </w:pPr>
            <w:r>
              <w:rPr>
                <w:rFonts w:ascii="仿宋_GB2312" w:hAnsi="仿宋_GB2312" w:cs="仿宋_GB2312" w:eastAsia="仿宋_GB2312"/>
              </w:rPr>
              <w:t>11.一般资格要求及特殊资格要求.docx 2.商务要求偏离表.docx 中小企业声明函 6.服务质量及进度计划保障措施.docx 10.业绩.docx 5.展会设计方案.docx 报价表 3.项目总体理解及规划.docx 8.团队人员配备.docx 14.陕西省政府采购供应商拒绝政府采购领域商业贿赂承诺书.docx 13.供应商企业关系关联承诺书.docx 7.安全保障措施及应急预案.docx 1.服务要求应答表.docx 响应文件封面 残疾人福利性单位声明函 12.供应商廉洁自律承诺书.docx 4.项目实施方案.docx 标的清单 9.后期服务方案.docx 15.其他材料及供应商认为有必要说明、阐述的事项.docx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项目总体理解及规划</w:t>
            </w:r>
          </w:p>
        </w:tc>
        <w:tc>
          <w:tcPr>
            <w:tcW w:type="dxa" w:w="2492"/>
          </w:tcPr>
          <w:p>
            <w:pPr>
              <w:pStyle w:val="null3"/>
            </w:pPr>
            <w:r>
              <w:rPr>
                <w:rFonts w:ascii="仿宋_GB2312" w:hAnsi="仿宋_GB2312" w:cs="仿宋_GB2312" w:eastAsia="仿宋_GB2312"/>
              </w:rPr>
              <w:t>一、评审内容 针对本项目提供项目总体理解及规划，包括但不限于①项目背景、内容及意义的理解；②项目重点难点分析及应对措施；③现场人流动线的规划方案。 二、评审标准 1、完善性：方案必须全面，对评审内容中的各项要求有详细阐述； 2、可实施性：切合本项目实际情况，提出步骤清晰、合理的方案； 3、针对性：方案能够紧扣项目实际情况，内容科学合理。 上述3项评审内容全部满足评审标准得6分，每有一个评审内容缺项扣2分，每有一项评审内容存在缺陷，扣1分，扣完为止。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3.项目总体理解及规划.docx</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一、评审内容 针对本项目提供项目实施方案，包括但不限于①不小于2万平米场地布展图；②场地搭建；③展区布置及物料准备；④展会现场的管理、组织及协调方案；⑤展会期间的运营维护；⑥秩序维护及后勤保障方案；⑦编制安保申报资料并协助采购人完成安保申报手续。 二、评审标准 1、完善性：方案必须全面，对评审内容中的各项要求有详细阐述； 2、可实施性：切合本项目实际情况，提出步骤清晰、合理的方案； 3、针对性：方案能够紧扣项目实际情况，内容科学合理。 上述7项评审内容全部满足评审标准得28分，每有一个评审内容缺项扣4分，每有一项评审内容存在缺陷，扣2分，扣完为止。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28.0000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4.项目实施方案.docx</w:t>
            </w:r>
          </w:p>
        </w:tc>
      </w:tr>
      <w:tr>
        <w:tc>
          <w:tcPr>
            <w:tcW w:type="dxa" w:w="831"/>
            <w:vMerge/>
          </w:tcPr>
          <w:p/>
        </w:tc>
        <w:tc>
          <w:tcPr>
            <w:tcW w:type="dxa" w:w="1661"/>
          </w:tcPr>
          <w:p>
            <w:pPr>
              <w:pStyle w:val="null3"/>
            </w:pPr>
            <w:r>
              <w:rPr>
                <w:rFonts w:ascii="仿宋_GB2312" w:hAnsi="仿宋_GB2312" w:cs="仿宋_GB2312" w:eastAsia="仿宋_GB2312"/>
              </w:rPr>
              <w:t>展会设计方案</w:t>
            </w:r>
          </w:p>
        </w:tc>
        <w:tc>
          <w:tcPr>
            <w:tcW w:type="dxa" w:w="2492"/>
          </w:tcPr>
          <w:p>
            <w:pPr>
              <w:pStyle w:val="null3"/>
            </w:pPr>
            <w:r>
              <w:rPr>
                <w:rFonts w:ascii="仿宋_GB2312" w:hAnsi="仿宋_GB2312" w:cs="仿宋_GB2312" w:eastAsia="仿宋_GB2312"/>
              </w:rPr>
              <w:t>一、评审内容 针对本项目提供展会设计方案，包括但不限于①展会形象设计；②氛围设计；③导视设计；④展位设计；⑤其他物料设计。 二、评审标准 1、完善性：方案必须全面，对评审内容中的各项要求有详细阐述； 2、可实施性：切合本项目实际情况，提出步骤清晰、合理的方案； 3、针对性：方案能够紧扣项目实际情况，内容科学合理。 上述5项评审内容全部满足评审标准得10分，每有一个评审内容缺项扣2分，每有一项评审内容存在缺陷，扣1分，扣完为止。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5.展会设计方案.docx</w:t>
            </w:r>
          </w:p>
        </w:tc>
      </w:tr>
      <w:tr>
        <w:tc>
          <w:tcPr>
            <w:tcW w:type="dxa" w:w="831"/>
            <w:vMerge/>
          </w:tcPr>
          <w:p/>
        </w:tc>
        <w:tc>
          <w:tcPr>
            <w:tcW w:type="dxa" w:w="1661"/>
          </w:tcPr>
          <w:p>
            <w:pPr>
              <w:pStyle w:val="null3"/>
            </w:pPr>
            <w:r>
              <w:rPr>
                <w:rFonts w:ascii="仿宋_GB2312" w:hAnsi="仿宋_GB2312" w:cs="仿宋_GB2312" w:eastAsia="仿宋_GB2312"/>
              </w:rPr>
              <w:t>服务质量及进度计划保障措施</w:t>
            </w:r>
          </w:p>
        </w:tc>
        <w:tc>
          <w:tcPr>
            <w:tcW w:type="dxa" w:w="2492"/>
          </w:tcPr>
          <w:p>
            <w:pPr>
              <w:pStyle w:val="null3"/>
            </w:pPr>
            <w:r>
              <w:rPr>
                <w:rFonts w:ascii="仿宋_GB2312" w:hAnsi="仿宋_GB2312" w:cs="仿宋_GB2312" w:eastAsia="仿宋_GB2312"/>
              </w:rPr>
              <w:t>一、评审内容 针对本项目提供服务质量保障措施，包括但不限于①服务质量承诺；②会期各项保障措施；③进度计划安排；④进度保障措施。 二、评审标准 1、完善性：方案必须全面，对评审内容中的各项要求有详细阐述； 2、可实施性：切合本项目实际情况，提出步骤清晰、合理的方案； 3、针对性：方案能够紧扣项目实际情况，内容科学合理。 上述4项评审内容全部满足评审标准得8分，每有一个评审内容缺项扣2分，每有一项评审内容存在缺陷，扣1分，扣完为止。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6.服务质量及进度计划保障措施.docx</w:t>
            </w:r>
          </w:p>
        </w:tc>
      </w:tr>
      <w:tr>
        <w:tc>
          <w:tcPr>
            <w:tcW w:type="dxa" w:w="831"/>
            <w:vMerge/>
          </w:tcPr>
          <w:p/>
        </w:tc>
        <w:tc>
          <w:tcPr>
            <w:tcW w:type="dxa" w:w="1661"/>
          </w:tcPr>
          <w:p>
            <w:pPr>
              <w:pStyle w:val="null3"/>
            </w:pPr>
            <w:r>
              <w:rPr>
                <w:rFonts w:ascii="仿宋_GB2312" w:hAnsi="仿宋_GB2312" w:cs="仿宋_GB2312" w:eastAsia="仿宋_GB2312"/>
              </w:rPr>
              <w:t>安全保障措施及应急预案</w:t>
            </w:r>
          </w:p>
        </w:tc>
        <w:tc>
          <w:tcPr>
            <w:tcW w:type="dxa" w:w="2492"/>
          </w:tcPr>
          <w:p>
            <w:pPr>
              <w:pStyle w:val="null3"/>
            </w:pPr>
            <w:r>
              <w:rPr>
                <w:rFonts w:ascii="仿宋_GB2312" w:hAnsi="仿宋_GB2312" w:cs="仿宋_GB2312" w:eastAsia="仿宋_GB2312"/>
              </w:rPr>
              <w:t>一、评审内容 针对本项目提供安全保障措施及应急预案，包括但不限于①安全管理制度；②安保设备配备方案；③安全隐患排查；④紧急医疗救援；⑤应对突发事件的处理措施。 二、评审标准 1、完善性：方案必须全面，对评审内容中的各项要求有详细阐述； 2、可实施性：切合本项目实际情况，提出步骤清晰、合理的方案； 3、针对性：方案能够紧扣项目实际情况，内容科学合理。 上述5项评审内容全部满足评审标准得10分，每有一个评审内容缺项扣2分，每有一项评审内容存在缺陷，扣1分，扣完为止。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7.安全保障措施及应急预案.docx</w:t>
            </w:r>
          </w:p>
        </w:tc>
      </w:tr>
      <w:tr>
        <w:tc>
          <w:tcPr>
            <w:tcW w:type="dxa" w:w="831"/>
            <w:vMerge/>
          </w:tcPr>
          <w:p/>
        </w:tc>
        <w:tc>
          <w:tcPr>
            <w:tcW w:type="dxa" w:w="1661"/>
          </w:tcPr>
          <w:p>
            <w:pPr>
              <w:pStyle w:val="null3"/>
            </w:pPr>
            <w:r>
              <w:rPr>
                <w:rFonts w:ascii="仿宋_GB2312" w:hAnsi="仿宋_GB2312" w:cs="仿宋_GB2312" w:eastAsia="仿宋_GB2312"/>
              </w:rPr>
              <w:t>团队人员配备</w:t>
            </w:r>
          </w:p>
        </w:tc>
        <w:tc>
          <w:tcPr>
            <w:tcW w:type="dxa" w:w="2492"/>
          </w:tcPr>
          <w:p>
            <w:pPr>
              <w:pStyle w:val="null3"/>
            </w:pPr>
            <w:r>
              <w:rPr>
                <w:rFonts w:ascii="仿宋_GB2312" w:hAnsi="仿宋_GB2312" w:cs="仿宋_GB2312" w:eastAsia="仿宋_GB2312"/>
              </w:rPr>
              <w:t>一、评审内容 针对本项目采购需求中的人员要求提供团队人员配备方案，包括但不限于①团队组织架构；②岗位设置；③岗位责任制度；④工作人员从业经验。 二、评审标准 1、完善性：方案必须全面，对评审内容中的各项要求有详细阐述； 2、可实施性：切合本项目实际情况，提出步骤清晰、合理的方案； 3、针对性：方案能够紧扣项目实际情况，内容科学合理。 上述4项评审内容全部满足评审标准得16分，每有一个评审内容缺项扣4分，每有一项评审内容存在缺陷，扣2分，扣完为止。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8.团队人员配备.docx</w:t>
            </w:r>
          </w:p>
        </w:tc>
      </w:tr>
      <w:tr>
        <w:tc>
          <w:tcPr>
            <w:tcW w:type="dxa" w:w="831"/>
            <w:vMerge/>
          </w:tcPr>
          <w:p/>
        </w:tc>
        <w:tc>
          <w:tcPr>
            <w:tcW w:type="dxa" w:w="1661"/>
          </w:tcPr>
          <w:p>
            <w:pPr>
              <w:pStyle w:val="null3"/>
            </w:pPr>
            <w:r>
              <w:rPr>
                <w:rFonts w:ascii="仿宋_GB2312" w:hAnsi="仿宋_GB2312" w:cs="仿宋_GB2312" w:eastAsia="仿宋_GB2312"/>
              </w:rPr>
              <w:t>后期服务方案</w:t>
            </w:r>
          </w:p>
        </w:tc>
        <w:tc>
          <w:tcPr>
            <w:tcW w:type="dxa" w:w="2492"/>
          </w:tcPr>
          <w:p>
            <w:pPr>
              <w:pStyle w:val="null3"/>
            </w:pPr>
            <w:r>
              <w:rPr>
                <w:rFonts w:ascii="仿宋_GB2312" w:hAnsi="仿宋_GB2312" w:cs="仿宋_GB2312" w:eastAsia="仿宋_GB2312"/>
              </w:rPr>
              <w:t>一、评审内容 针对本项目提供后期服务方案，包括但不限于①全过程资料的收集、整理及移交；②展会撤展方案；③场馆验收交接。 二、评审标准 1、完善性：方案必须全面，对评审内容中的各项要求有详细阐述； 2、可实施性：切合本项目实际情况，提出步骤清晰、合理的方案； 3、针对性：方案能够紧扣项目实际情况，内容科学合理。 上述3项评审内容全部满足评审标准得6分，每有一个评审内容缺项扣2分，每有一项评审内容存在缺陷，扣1分，扣完为止。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9.后期服务方案.docx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供应商提供2023年至今主办或承接过的类似项目，时间以合同签订时间为准。每提供一个项目得2分，最高得6分。 注：弄虚作假者，取消其成交资格。（以加盖供应商公章的合同扫描件为准，日期以合同签订日期为准）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10.业绩.docx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满足磋商文件要求且磋商报价最低的价格为评审基准价,其价格分为满分,其他供应商的价格分统一按照下列公式计算：报价得分=（评审基准价／磋商报价）×10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详见附件：1.服务要求应答表.docx</w:t>
      </w:r>
    </w:p>
    <w:p>
      <w:pPr>
        <w:pStyle w:val="null3"/>
        <w:ind w:firstLine="960"/>
      </w:pPr>
      <w:r>
        <w:rPr>
          <w:rFonts w:ascii="仿宋_GB2312" w:hAnsi="仿宋_GB2312" w:cs="仿宋_GB2312" w:eastAsia="仿宋_GB2312"/>
        </w:rPr>
        <w:t>详见附件：2.商务要求偏离表.docx</w:t>
      </w:r>
    </w:p>
    <w:p>
      <w:pPr>
        <w:pStyle w:val="null3"/>
        <w:ind w:firstLine="960"/>
      </w:pPr>
      <w:r>
        <w:rPr>
          <w:rFonts w:ascii="仿宋_GB2312" w:hAnsi="仿宋_GB2312" w:cs="仿宋_GB2312" w:eastAsia="仿宋_GB2312"/>
        </w:rPr>
        <w:t>详见附件：3.项目总体理解及规划.docx</w:t>
      </w:r>
    </w:p>
    <w:p>
      <w:pPr>
        <w:pStyle w:val="null3"/>
        <w:ind w:firstLine="960"/>
      </w:pPr>
      <w:r>
        <w:rPr>
          <w:rFonts w:ascii="仿宋_GB2312" w:hAnsi="仿宋_GB2312" w:cs="仿宋_GB2312" w:eastAsia="仿宋_GB2312"/>
        </w:rPr>
        <w:t>详见附件：4.项目实施方案.docx</w:t>
      </w:r>
    </w:p>
    <w:p>
      <w:pPr>
        <w:pStyle w:val="null3"/>
        <w:ind w:firstLine="960"/>
      </w:pPr>
      <w:r>
        <w:rPr>
          <w:rFonts w:ascii="仿宋_GB2312" w:hAnsi="仿宋_GB2312" w:cs="仿宋_GB2312" w:eastAsia="仿宋_GB2312"/>
        </w:rPr>
        <w:t>详见附件：5.展会设计方案.docx</w:t>
      </w:r>
    </w:p>
    <w:p>
      <w:pPr>
        <w:pStyle w:val="null3"/>
        <w:ind w:firstLine="960"/>
      </w:pPr>
      <w:r>
        <w:rPr>
          <w:rFonts w:ascii="仿宋_GB2312" w:hAnsi="仿宋_GB2312" w:cs="仿宋_GB2312" w:eastAsia="仿宋_GB2312"/>
        </w:rPr>
        <w:t>详见附件：6.服务质量及进度计划保障措施.docx</w:t>
      </w:r>
    </w:p>
    <w:p>
      <w:pPr>
        <w:pStyle w:val="null3"/>
        <w:ind w:firstLine="960"/>
      </w:pPr>
      <w:r>
        <w:rPr>
          <w:rFonts w:ascii="仿宋_GB2312" w:hAnsi="仿宋_GB2312" w:cs="仿宋_GB2312" w:eastAsia="仿宋_GB2312"/>
        </w:rPr>
        <w:t>详见附件：7.安全保障措施及应急预案.docx</w:t>
      </w:r>
    </w:p>
    <w:p>
      <w:pPr>
        <w:pStyle w:val="null3"/>
        <w:ind w:firstLine="960"/>
      </w:pPr>
      <w:r>
        <w:rPr>
          <w:rFonts w:ascii="仿宋_GB2312" w:hAnsi="仿宋_GB2312" w:cs="仿宋_GB2312" w:eastAsia="仿宋_GB2312"/>
        </w:rPr>
        <w:t>详见附件：8.团队人员配备.docx</w:t>
      </w:r>
    </w:p>
    <w:p>
      <w:pPr>
        <w:pStyle w:val="null3"/>
        <w:ind w:firstLine="960"/>
      </w:pPr>
      <w:r>
        <w:rPr>
          <w:rFonts w:ascii="仿宋_GB2312" w:hAnsi="仿宋_GB2312" w:cs="仿宋_GB2312" w:eastAsia="仿宋_GB2312"/>
        </w:rPr>
        <w:t>详见附件：9.后期服务方案.docx</w:t>
      </w:r>
    </w:p>
    <w:p>
      <w:pPr>
        <w:pStyle w:val="null3"/>
        <w:ind w:firstLine="960"/>
      </w:pPr>
      <w:r>
        <w:rPr>
          <w:rFonts w:ascii="仿宋_GB2312" w:hAnsi="仿宋_GB2312" w:cs="仿宋_GB2312" w:eastAsia="仿宋_GB2312"/>
        </w:rPr>
        <w:t>详见附件：10.业绩.docx</w:t>
      </w:r>
    </w:p>
    <w:p>
      <w:pPr>
        <w:pStyle w:val="null3"/>
        <w:ind w:firstLine="960"/>
      </w:pPr>
      <w:r>
        <w:rPr>
          <w:rFonts w:ascii="仿宋_GB2312" w:hAnsi="仿宋_GB2312" w:cs="仿宋_GB2312" w:eastAsia="仿宋_GB2312"/>
        </w:rPr>
        <w:t>详见附件：11.一般资格要求及特殊资格要求.docx</w:t>
      </w:r>
    </w:p>
    <w:p>
      <w:pPr>
        <w:pStyle w:val="null3"/>
        <w:ind w:firstLine="960"/>
      </w:pPr>
      <w:r>
        <w:rPr>
          <w:rFonts w:ascii="仿宋_GB2312" w:hAnsi="仿宋_GB2312" w:cs="仿宋_GB2312" w:eastAsia="仿宋_GB2312"/>
        </w:rPr>
        <w:t>详见附件：12.供应商廉洁自律承诺书.docx</w:t>
      </w:r>
    </w:p>
    <w:p>
      <w:pPr>
        <w:pStyle w:val="null3"/>
        <w:ind w:firstLine="960"/>
      </w:pPr>
      <w:r>
        <w:rPr>
          <w:rFonts w:ascii="仿宋_GB2312" w:hAnsi="仿宋_GB2312" w:cs="仿宋_GB2312" w:eastAsia="仿宋_GB2312"/>
        </w:rPr>
        <w:t>详见附件：13.供应商企业关系关联承诺书.docx</w:t>
      </w:r>
    </w:p>
    <w:p>
      <w:pPr>
        <w:pStyle w:val="null3"/>
        <w:ind w:firstLine="960"/>
      </w:pPr>
      <w:r>
        <w:rPr>
          <w:rFonts w:ascii="仿宋_GB2312" w:hAnsi="仿宋_GB2312" w:cs="仿宋_GB2312" w:eastAsia="仿宋_GB2312"/>
        </w:rPr>
        <w:t>详见附件：14.陕西省政府采购供应商拒绝政府采购领域商业贿赂承诺书.docx</w:t>
      </w:r>
    </w:p>
    <w:p>
      <w:pPr>
        <w:pStyle w:val="null3"/>
        <w:ind w:firstLine="960"/>
      </w:pPr>
      <w:r>
        <w:rPr>
          <w:rFonts w:ascii="仿宋_GB2312" w:hAnsi="仿宋_GB2312" w:cs="仿宋_GB2312" w:eastAsia="仿宋_GB2312"/>
        </w:rPr>
        <w:t>详见附件：15.其他材料及供应商认为有必要说明、阐述的事项.docx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