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5E439D">
      <w:pPr>
        <w:rPr>
          <w:rFonts w:hint="eastAsia" w:ascii="宋体" w:hAnsi="宋体" w:eastAsia="宋体" w:cs="宋体"/>
          <w:b/>
          <w:color w:val="000000"/>
          <w:sz w:val="32"/>
          <w:szCs w:val="32"/>
          <w:highlight w:val="none"/>
          <w:lang w:val="en-US" w:eastAsia="zh-CN"/>
        </w:rPr>
      </w:pPr>
      <w:r>
        <w:rPr>
          <w:rFonts w:hint="eastAsia" w:ascii="宋体" w:hAnsi="宋体" w:eastAsia="宋体" w:cs="宋体"/>
          <w:b/>
          <w:color w:val="000000"/>
          <w:sz w:val="32"/>
          <w:szCs w:val="32"/>
          <w:highlight w:val="none"/>
          <w:lang w:val="en-US" w:eastAsia="zh-CN"/>
        </w:rPr>
        <w:t>（仅供参考）</w:t>
      </w:r>
    </w:p>
    <w:p w14:paraId="1B1CE2EC">
      <w:pPr>
        <w:rPr>
          <w:rFonts w:hint="eastAsia" w:ascii="宋体" w:hAnsi="宋体" w:eastAsia="宋体" w:cs="宋体"/>
          <w:b/>
          <w:color w:val="000000"/>
          <w:sz w:val="32"/>
          <w:szCs w:val="32"/>
          <w:highlight w:val="none"/>
          <w:lang w:val="en-US" w:eastAsia="zh-CN"/>
        </w:rPr>
      </w:pPr>
      <w:r>
        <w:rPr>
          <w:rFonts w:hint="eastAsia" w:ascii="宋体" w:hAnsi="宋体" w:eastAsia="宋体" w:cs="宋体"/>
          <w:b/>
          <w:color w:val="000000"/>
          <w:sz w:val="32"/>
          <w:szCs w:val="32"/>
          <w:highlight w:val="none"/>
          <w:lang w:val="en-US" w:eastAsia="zh-CN"/>
        </w:rPr>
        <w:t>政府采购项目</w:t>
      </w:r>
    </w:p>
    <w:tbl>
      <w:tblPr>
        <w:tblStyle w:val="3"/>
        <w:tblpPr w:leftFromText="180" w:rightFromText="180" w:vertAnchor="text" w:tblpX="7612" w:tblpY="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6"/>
      </w:tblGrid>
      <w:tr w14:paraId="7EDAC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576" w:type="dxa"/>
            <w:noWrap w:val="0"/>
            <w:vAlign w:val="top"/>
          </w:tcPr>
          <w:p w14:paraId="6C3A6DEE">
            <w:pPr>
              <w:rPr>
                <w:rFonts w:hint="eastAsia" w:ascii="宋体" w:hAnsi="宋体" w:eastAsia="宋体" w:cs="宋体"/>
                <w:b/>
                <w:color w:val="000000"/>
                <w:sz w:val="32"/>
                <w:szCs w:val="32"/>
                <w:highlight w:val="none"/>
              </w:rPr>
            </w:pPr>
            <w:r>
              <w:rPr>
                <w:rFonts w:hint="eastAsia" w:ascii="宋体" w:hAnsi="宋体" w:eastAsia="宋体" w:cs="宋体"/>
                <w:b/>
                <w:color w:val="000000"/>
                <w:sz w:val="32"/>
                <w:szCs w:val="32"/>
                <w:highlight w:val="none"/>
              </w:rPr>
              <w:t>公开招标</w:t>
            </w:r>
          </w:p>
        </w:tc>
      </w:tr>
    </w:tbl>
    <w:p w14:paraId="1C384726">
      <w:pPr>
        <w:bidi w:val="0"/>
        <w:rPr>
          <w:rFonts w:hint="eastAsia" w:ascii="宋体" w:hAnsi="宋体" w:eastAsia="宋体" w:cs="宋体"/>
          <w:highlight w:val="none"/>
          <w:lang w:val="en-US" w:eastAsia="zh-CN"/>
        </w:rPr>
      </w:pPr>
      <w:bookmarkStart w:id="1" w:name="_GoBack"/>
      <w:bookmarkEnd w:id="1"/>
    </w:p>
    <w:p w14:paraId="74DBFBDB">
      <w:pPr>
        <w:bidi w:val="0"/>
        <w:rPr>
          <w:rFonts w:hint="eastAsia" w:ascii="宋体" w:hAnsi="宋体" w:eastAsia="宋体" w:cs="宋体"/>
          <w:highlight w:val="none"/>
        </w:rPr>
      </w:pPr>
    </w:p>
    <w:p w14:paraId="4996B9F7">
      <w:pPr>
        <w:bidi w:val="0"/>
        <w:rPr>
          <w:rFonts w:hint="eastAsia" w:ascii="宋体" w:hAnsi="宋体" w:eastAsia="宋体" w:cs="宋体"/>
          <w:highlight w:val="none"/>
          <w:lang w:val="en-US" w:eastAsia="zh-CN"/>
        </w:rPr>
      </w:pPr>
      <w:r>
        <w:rPr>
          <w:rFonts w:hint="eastAsia" w:ascii="宋体" w:hAnsi="宋体" w:eastAsia="宋体" w:cs="宋体"/>
          <w:highlight w:val="none"/>
          <w:lang w:val="en-US" w:eastAsia="zh-CN"/>
        </w:rPr>
        <w:t xml:space="preserve"> </w:t>
      </w:r>
    </w:p>
    <w:p w14:paraId="5D4C6B0E">
      <w:pPr>
        <w:bidi w:val="0"/>
        <w:rPr>
          <w:rFonts w:hint="eastAsia" w:ascii="宋体" w:hAnsi="宋体" w:eastAsia="宋体" w:cs="宋体"/>
          <w:highlight w:val="none"/>
          <w:lang w:val="en-US" w:eastAsia="zh-CN"/>
        </w:rPr>
      </w:pPr>
      <w:r>
        <w:rPr>
          <w:rFonts w:hint="eastAsia" w:ascii="宋体" w:hAnsi="宋体" w:eastAsia="宋体" w:cs="宋体"/>
          <w:highlight w:val="none"/>
          <w:lang w:val="en-US" w:eastAsia="zh-CN"/>
        </w:rPr>
        <w:t xml:space="preserve">  </w:t>
      </w:r>
    </w:p>
    <w:p w14:paraId="12C49157">
      <w:pPr>
        <w:bidi w:val="0"/>
        <w:jc w:val="center"/>
        <w:rPr>
          <w:rFonts w:hint="eastAsia" w:ascii="宋体" w:hAnsi="宋体" w:eastAsia="宋体" w:cs="宋体"/>
          <w:b/>
          <w:bCs/>
          <w:sz w:val="48"/>
          <w:szCs w:val="36"/>
          <w:highlight w:val="none"/>
        </w:rPr>
      </w:pPr>
    </w:p>
    <w:p w14:paraId="282E34B3">
      <w:pPr>
        <w:bidi w:val="0"/>
        <w:jc w:val="center"/>
        <w:rPr>
          <w:rFonts w:hint="eastAsia" w:ascii="宋体" w:hAnsi="宋体" w:eastAsia="宋体" w:cs="宋体"/>
          <w:b/>
          <w:bCs/>
          <w:sz w:val="48"/>
          <w:szCs w:val="36"/>
          <w:highlight w:val="none"/>
        </w:rPr>
      </w:pPr>
    </w:p>
    <w:p w14:paraId="65C2C47E">
      <w:pPr>
        <w:bidi w:val="0"/>
        <w:jc w:val="center"/>
        <w:rPr>
          <w:rFonts w:hint="eastAsia" w:ascii="宋体" w:hAnsi="宋体" w:eastAsia="宋体" w:cs="宋体"/>
          <w:b/>
          <w:bCs/>
          <w:sz w:val="48"/>
          <w:szCs w:val="36"/>
          <w:highlight w:val="none"/>
        </w:rPr>
      </w:pPr>
      <w:r>
        <w:rPr>
          <w:rFonts w:hint="eastAsia" w:ascii="宋体" w:hAnsi="宋体" w:eastAsia="宋体" w:cs="宋体"/>
          <w:b/>
          <w:bCs/>
          <w:sz w:val="48"/>
          <w:szCs w:val="36"/>
          <w:highlight w:val="none"/>
        </w:rPr>
        <w:t>西安市保障性住房管理中心</w:t>
      </w:r>
    </w:p>
    <w:p w14:paraId="48354D23">
      <w:pPr>
        <w:bidi w:val="0"/>
        <w:jc w:val="center"/>
        <w:rPr>
          <w:rFonts w:hint="eastAsia" w:ascii="宋体" w:hAnsi="宋体" w:eastAsia="宋体" w:cs="宋体"/>
          <w:b/>
          <w:bCs/>
          <w:sz w:val="48"/>
          <w:szCs w:val="36"/>
          <w:highlight w:val="none"/>
          <w:lang w:val="en-US" w:eastAsia="zh-CN"/>
        </w:rPr>
      </w:pPr>
      <w:r>
        <w:rPr>
          <w:rFonts w:hint="eastAsia" w:ascii="宋体" w:hAnsi="宋体" w:eastAsia="宋体" w:cs="宋体"/>
          <w:b/>
          <w:bCs/>
          <w:sz w:val="48"/>
          <w:szCs w:val="36"/>
          <w:highlight w:val="none"/>
          <w:lang w:eastAsia="zh-CN"/>
        </w:rPr>
        <w:t>2026年度保障房大厅运营管理项目</w:t>
      </w:r>
    </w:p>
    <w:p w14:paraId="11E0CA17">
      <w:pPr>
        <w:bidi w:val="0"/>
        <w:jc w:val="center"/>
        <w:rPr>
          <w:rFonts w:hint="eastAsia" w:ascii="宋体" w:hAnsi="宋体" w:eastAsia="宋体" w:cs="宋体"/>
          <w:b/>
          <w:bCs/>
          <w:sz w:val="36"/>
          <w:szCs w:val="24"/>
          <w:highlight w:val="none"/>
        </w:rPr>
      </w:pPr>
    </w:p>
    <w:p w14:paraId="1BE423EA">
      <w:pPr>
        <w:bidi w:val="0"/>
        <w:jc w:val="center"/>
        <w:rPr>
          <w:rFonts w:hint="eastAsia" w:ascii="宋体" w:hAnsi="宋体" w:eastAsia="宋体" w:cs="宋体"/>
          <w:b/>
          <w:bCs/>
          <w:sz w:val="36"/>
          <w:szCs w:val="24"/>
          <w:highlight w:val="none"/>
        </w:rPr>
      </w:pPr>
      <w:r>
        <w:rPr>
          <w:rFonts w:hint="eastAsia" w:ascii="宋体" w:hAnsi="宋体" w:eastAsia="宋体" w:cs="宋体"/>
          <w:b/>
          <w:bCs/>
          <w:sz w:val="36"/>
          <w:szCs w:val="24"/>
          <w:highlight w:val="none"/>
        </w:rPr>
        <w:t>服 务 合 同</w:t>
      </w:r>
    </w:p>
    <w:p w14:paraId="7477EB50">
      <w:pPr>
        <w:bidi w:val="0"/>
        <w:jc w:val="center"/>
        <w:rPr>
          <w:rFonts w:hint="eastAsia" w:ascii="宋体" w:hAnsi="宋体" w:eastAsia="宋体" w:cs="宋体"/>
          <w:sz w:val="40"/>
          <w:szCs w:val="28"/>
          <w:highlight w:val="none"/>
        </w:rPr>
      </w:pPr>
      <w:r>
        <w:rPr>
          <w:rFonts w:hint="eastAsia" w:ascii="宋体" w:hAnsi="宋体" w:eastAsia="宋体" w:cs="宋体"/>
          <w:sz w:val="40"/>
          <w:szCs w:val="28"/>
          <w:highlight w:val="none"/>
        </w:rPr>
        <w:t>（编号</w:t>
      </w:r>
      <w:r>
        <w:rPr>
          <w:rFonts w:hint="eastAsia" w:ascii="宋体" w:hAnsi="宋体" w:eastAsia="宋体" w:cs="宋体"/>
          <w:sz w:val="40"/>
          <w:szCs w:val="28"/>
          <w:highlight w:val="none"/>
          <w:lang w:val="en-US" w:eastAsia="zh-CN"/>
        </w:rPr>
        <w:t>:</w:t>
      </w:r>
      <w:r>
        <w:rPr>
          <w:rFonts w:hint="eastAsia" w:ascii="宋体" w:hAnsi="宋体" w:eastAsia="宋体" w:cs="宋体"/>
          <w:sz w:val="40"/>
          <w:szCs w:val="28"/>
          <w:highlight w:val="none"/>
        </w:rPr>
        <w:t>）</w:t>
      </w:r>
    </w:p>
    <w:p w14:paraId="43CED869">
      <w:pPr>
        <w:bidi w:val="0"/>
        <w:jc w:val="center"/>
        <w:rPr>
          <w:rFonts w:hint="eastAsia" w:ascii="宋体" w:hAnsi="宋体" w:eastAsia="宋体" w:cs="宋体"/>
          <w:sz w:val="40"/>
          <w:szCs w:val="28"/>
          <w:highlight w:val="none"/>
        </w:rPr>
      </w:pPr>
    </w:p>
    <w:p w14:paraId="01B1E032">
      <w:pPr>
        <w:bidi w:val="0"/>
        <w:jc w:val="center"/>
        <w:rPr>
          <w:rFonts w:hint="eastAsia" w:ascii="宋体" w:hAnsi="宋体" w:eastAsia="宋体" w:cs="宋体"/>
          <w:sz w:val="40"/>
          <w:szCs w:val="28"/>
          <w:highlight w:val="none"/>
        </w:rPr>
      </w:pPr>
    </w:p>
    <w:p w14:paraId="5EA89E33">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40"/>
          <w:szCs w:val="28"/>
          <w:highlight w:val="none"/>
          <w:lang w:val="en-US" w:eastAsia="zh-CN"/>
        </w:rPr>
      </w:pPr>
    </w:p>
    <w:p w14:paraId="75173367">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36"/>
          <w:szCs w:val="24"/>
          <w:highlight w:val="none"/>
          <w:u w:val="single"/>
          <w:lang w:val="en-US" w:eastAsia="zh-CN"/>
        </w:rPr>
      </w:pPr>
      <w:r>
        <w:rPr>
          <w:rFonts w:hint="eastAsia" w:ascii="宋体" w:hAnsi="宋体" w:eastAsia="宋体" w:cs="宋体"/>
          <w:sz w:val="36"/>
          <w:szCs w:val="24"/>
          <w:highlight w:val="none"/>
        </w:rPr>
        <w:t>甲  方：</w:t>
      </w:r>
      <w:r>
        <w:rPr>
          <w:rFonts w:hint="eastAsia" w:ascii="宋体" w:hAnsi="宋体" w:eastAsia="宋体" w:cs="宋体"/>
          <w:sz w:val="36"/>
          <w:szCs w:val="24"/>
          <w:highlight w:val="none"/>
          <w:u w:val="single"/>
          <w:lang w:val="en-US" w:eastAsia="zh-CN"/>
        </w:rPr>
        <w:t xml:space="preserve"> </w:t>
      </w:r>
      <w:r>
        <w:rPr>
          <w:rFonts w:hint="eastAsia" w:ascii="宋体" w:hAnsi="宋体" w:eastAsia="宋体" w:cs="宋体"/>
          <w:sz w:val="36"/>
          <w:szCs w:val="24"/>
          <w:highlight w:val="none"/>
          <w:u w:val="single"/>
        </w:rPr>
        <w:t>西安市保障性住房管理中心</w:t>
      </w:r>
      <w:r>
        <w:rPr>
          <w:rFonts w:hint="eastAsia" w:ascii="宋体" w:hAnsi="宋体" w:eastAsia="宋体" w:cs="宋体"/>
          <w:sz w:val="36"/>
          <w:szCs w:val="24"/>
          <w:highlight w:val="none"/>
          <w:u w:val="single"/>
          <w:lang w:val="en-US" w:eastAsia="zh-CN"/>
        </w:rPr>
        <w:t xml:space="preserve"> </w:t>
      </w:r>
    </w:p>
    <w:p w14:paraId="4BB37D93">
      <w:pPr>
        <w:keepNext w:val="0"/>
        <w:keepLines w:val="0"/>
        <w:pageBreakBefore w:val="0"/>
        <w:widowControl w:val="0"/>
        <w:kinsoku/>
        <w:wordWrap/>
        <w:overflowPunct/>
        <w:topLinePunct w:val="0"/>
        <w:autoSpaceDE/>
        <w:autoSpaceDN/>
        <w:bidi w:val="0"/>
        <w:adjustRightInd/>
        <w:snapToGrid/>
        <w:spacing w:line="480" w:lineRule="auto"/>
        <w:ind w:left="0" w:leftChars="0" w:firstLine="1260" w:firstLineChars="350"/>
        <w:jc w:val="both"/>
        <w:textAlignment w:val="auto"/>
        <w:rPr>
          <w:rFonts w:hint="eastAsia" w:ascii="宋体" w:hAnsi="宋体" w:eastAsia="宋体" w:cs="宋体"/>
          <w:sz w:val="36"/>
          <w:szCs w:val="24"/>
          <w:highlight w:val="none"/>
        </w:rPr>
      </w:pPr>
    </w:p>
    <w:p w14:paraId="4F207F64">
      <w:pPr>
        <w:keepNext w:val="0"/>
        <w:keepLines w:val="0"/>
        <w:pageBreakBefore w:val="0"/>
        <w:widowControl w:val="0"/>
        <w:kinsoku/>
        <w:wordWrap/>
        <w:overflowPunct/>
        <w:topLinePunct w:val="0"/>
        <w:autoSpaceDE/>
        <w:autoSpaceDN/>
        <w:bidi w:val="0"/>
        <w:adjustRightInd/>
        <w:snapToGrid/>
        <w:spacing w:line="480" w:lineRule="auto"/>
        <w:ind w:left="0" w:leftChars="0" w:firstLine="1260" w:firstLineChars="350"/>
        <w:jc w:val="both"/>
        <w:textAlignment w:val="auto"/>
        <w:rPr>
          <w:rFonts w:hint="eastAsia" w:ascii="宋体" w:hAnsi="宋体" w:eastAsia="宋体" w:cs="宋体"/>
          <w:sz w:val="36"/>
          <w:szCs w:val="24"/>
          <w:highlight w:val="none"/>
          <w:u w:val="single"/>
          <w:lang w:val="en-US" w:eastAsia="zh-CN"/>
        </w:rPr>
      </w:pPr>
      <w:r>
        <w:rPr>
          <w:rFonts w:hint="eastAsia" w:ascii="宋体" w:hAnsi="宋体" w:eastAsia="宋体" w:cs="宋体"/>
          <w:sz w:val="36"/>
          <w:szCs w:val="24"/>
          <w:highlight w:val="none"/>
        </w:rPr>
        <w:t>乙  方：</w:t>
      </w:r>
      <w:r>
        <w:rPr>
          <w:rFonts w:hint="eastAsia" w:ascii="宋体" w:hAnsi="宋体" w:eastAsia="宋体" w:cs="宋体"/>
          <w:sz w:val="36"/>
          <w:szCs w:val="24"/>
          <w:highlight w:val="none"/>
          <w:u w:val="single"/>
          <w:lang w:val="en-US" w:eastAsia="zh-CN"/>
        </w:rPr>
        <w:t xml:space="preserve">                         </w:t>
      </w:r>
    </w:p>
    <w:p w14:paraId="4ACEE6CC">
      <w:pPr>
        <w:bidi w:val="0"/>
        <w:jc w:val="center"/>
        <w:rPr>
          <w:rFonts w:hint="eastAsia" w:ascii="宋体" w:hAnsi="宋体" w:eastAsia="宋体" w:cs="宋体"/>
          <w:sz w:val="40"/>
          <w:szCs w:val="28"/>
          <w:highlight w:val="none"/>
        </w:rPr>
      </w:pPr>
      <w:r>
        <w:rPr>
          <w:rFonts w:hint="eastAsia" w:ascii="宋体" w:hAnsi="宋体" w:eastAsia="宋体" w:cs="宋体"/>
          <w:sz w:val="36"/>
          <w:szCs w:val="24"/>
          <w:highlight w:val="none"/>
          <w:lang w:val="en-US" w:eastAsia="zh-CN"/>
        </w:rPr>
        <w:t xml:space="preserve"> </w:t>
      </w:r>
    </w:p>
    <w:p w14:paraId="3F574CDF">
      <w:pPr>
        <w:bidi w:val="0"/>
        <w:jc w:val="center"/>
        <w:rPr>
          <w:rFonts w:hint="eastAsia" w:ascii="宋体" w:hAnsi="宋体" w:eastAsia="宋体" w:cs="宋体"/>
          <w:sz w:val="40"/>
          <w:szCs w:val="28"/>
          <w:highlight w:val="none"/>
        </w:rPr>
      </w:pPr>
      <w:r>
        <w:rPr>
          <w:rFonts w:hint="eastAsia" w:ascii="宋体" w:hAnsi="宋体" w:eastAsia="宋体" w:cs="宋体"/>
          <w:sz w:val="40"/>
          <w:szCs w:val="28"/>
          <w:highlight w:val="none"/>
        </w:rPr>
        <w:t>年</w:t>
      </w:r>
      <w:r>
        <w:rPr>
          <w:rFonts w:hint="eastAsia" w:ascii="宋体" w:hAnsi="宋体" w:eastAsia="宋体" w:cs="宋体"/>
          <w:sz w:val="40"/>
          <w:szCs w:val="28"/>
          <w:highlight w:val="none"/>
          <w:lang w:val="en-US" w:eastAsia="zh-CN"/>
        </w:rPr>
        <w:t xml:space="preserve">     </w:t>
      </w:r>
      <w:r>
        <w:rPr>
          <w:rFonts w:hint="eastAsia" w:ascii="宋体" w:hAnsi="宋体" w:eastAsia="宋体" w:cs="宋体"/>
          <w:sz w:val="40"/>
          <w:szCs w:val="28"/>
          <w:highlight w:val="none"/>
        </w:rPr>
        <w:t>月</w:t>
      </w:r>
    </w:p>
    <w:p w14:paraId="2CBB0EFC">
      <w:pPr>
        <w:bidi w:val="0"/>
        <w:jc w:val="center"/>
        <w:rPr>
          <w:rFonts w:hint="eastAsia" w:ascii="宋体" w:hAnsi="宋体" w:eastAsia="宋体" w:cs="宋体"/>
          <w:b/>
          <w:bCs/>
          <w:sz w:val="40"/>
          <w:szCs w:val="28"/>
          <w:highlight w:val="none"/>
        </w:rPr>
      </w:pPr>
      <w:r>
        <w:rPr>
          <w:rFonts w:hint="eastAsia" w:ascii="宋体" w:hAnsi="宋体" w:eastAsia="宋体" w:cs="宋体"/>
          <w:b/>
          <w:bCs/>
          <w:sz w:val="40"/>
          <w:szCs w:val="28"/>
          <w:highlight w:val="none"/>
        </w:rPr>
        <w:t>中国  西安</w:t>
      </w:r>
    </w:p>
    <w:p w14:paraId="5C79A38A">
      <w:pPr>
        <w:bidi w:val="0"/>
        <w:rPr>
          <w:rFonts w:hint="eastAsia" w:ascii="宋体" w:hAnsi="宋体" w:eastAsia="宋体" w:cs="宋体"/>
          <w:highlight w:val="none"/>
        </w:rPr>
      </w:pPr>
      <w:r>
        <w:rPr>
          <w:rFonts w:hint="eastAsia" w:ascii="宋体" w:hAnsi="宋体" w:eastAsia="宋体" w:cs="宋体"/>
          <w:highlight w:val="none"/>
        </w:rPr>
        <w:br w:type="page"/>
      </w:r>
    </w:p>
    <w:p w14:paraId="7CF92045">
      <w:pPr>
        <w:bidi w:val="0"/>
        <w:jc w:val="center"/>
        <w:rPr>
          <w:rFonts w:hint="eastAsia" w:ascii="宋体" w:hAnsi="宋体" w:eastAsia="宋体" w:cs="宋体"/>
          <w:sz w:val="36"/>
          <w:szCs w:val="24"/>
          <w:highlight w:val="none"/>
        </w:rPr>
      </w:pPr>
      <w:r>
        <w:rPr>
          <w:rFonts w:hint="eastAsia" w:ascii="宋体" w:hAnsi="宋体" w:eastAsia="宋体" w:cs="宋体"/>
          <w:sz w:val="36"/>
          <w:szCs w:val="24"/>
          <w:highlight w:val="none"/>
        </w:rPr>
        <w:t>服 务 合 同</w:t>
      </w:r>
    </w:p>
    <w:p w14:paraId="11D7038E">
      <w:pPr>
        <w:spacing w:line="360" w:lineRule="auto"/>
        <w:rPr>
          <w:rFonts w:hint="eastAsia"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rPr>
        <w:t>甲方：</w:t>
      </w:r>
      <w:r>
        <w:rPr>
          <w:rFonts w:hint="eastAsia" w:ascii="宋体" w:hAnsi="宋体" w:eastAsia="宋体" w:cs="宋体"/>
          <w:color w:val="000000"/>
          <w:sz w:val="24"/>
          <w:szCs w:val="24"/>
          <w:highlight w:val="none"/>
          <w:u w:val="single"/>
        </w:rPr>
        <w:t>西安市保障性住房管理中心</w:t>
      </w:r>
      <w:r>
        <w:rPr>
          <w:rFonts w:hint="eastAsia" w:ascii="宋体" w:hAnsi="宋体" w:eastAsia="宋体" w:cs="宋体"/>
          <w:color w:val="000000"/>
          <w:sz w:val="24"/>
          <w:szCs w:val="24"/>
          <w:highlight w:val="none"/>
          <w:u w:val="single"/>
          <w:lang w:val="en-US" w:eastAsia="zh-CN"/>
        </w:rPr>
        <w:t xml:space="preserve">   </w:t>
      </w:r>
    </w:p>
    <w:p w14:paraId="38C140C8">
      <w:pPr>
        <w:tabs>
          <w:tab w:val="left" w:pos="480"/>
        </w:tabs>
        <w:spacing w:line="360" w:lineRule="auto"/>
        <w:rPr>
          <w:rFonts w:hint="eastAsia"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rPr>
        <w:t>乙方：</w:t>
      </w:r>
      <w:r>
        <w:rPr>
          <w:rFonts w:hint="eastAsia" w:ascii="宋体" w:hAnsi="宋体" w:eastAsia="宋体" w:cs="宋体"/>
          <w:color w:val="000000"/>
          <w:sz w:val="24"/>
          <w:szCs w:val="24"/>
          <w:highlight w:val="none"/>
          <w:u w:val="single"/>
          <w:lang w:val="en-US" w:eastAsia="zh-CN"/>
        </w:rPr>
        <w:t xml:space="preserve">                              </w:t>
      </w:r>
    </w:p>
    <w:p w14:paraId="49581D1E">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就甲方所需服务，在西安市财政局政府采购管理处的监督管理下，按照政府采购程序组织公开招标，确定乙方为</w:t>
      </w:r>
      <w:r>
        <w:rPr>
          <w:rFonts w:hint="eastAsia" w:ascii="宋体" w:hAnsi="宋体" w:eastAsia="宋体" w:cs="宋体"/>
          <w:color w:val="000000"/>
          <w:sz w:val="24"/>
          <w:szCs w:val="24"/>
          <w:highlight w:val="none"/>
          <w:u w:val="single"/>
          <w:lang w:val="en-US" w:eastAsia="zh-CN"/>
        </w:rPr>
        <w:t xml:space="preserve">  2026年度保障房大厅运营项目</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eastAsia="zh-CN"/>
        </w:rPr>
        <w:t>采购</w:t>
      </w:r>
      <w:r>
        <w:rPr>
          <w:rFonts w:hint="eastAsia" w:ascii="宋体" w:hAnsi="宋体" w:eastAsia="宋体" w:cs="宋体"/>
          <w:color w:val="000000"/>
          <w:sz w:val="24"/>
          <w:szCs w:val="24"/>
          <w:highlight w:val="none"/>
          <w:u w:val="single"/>
        </w:rPr>
        <w:t>项目编号：</w:t>
      </w:r>
      <w:r>
        <w:rPr>
          <w:rFonts w:hint="eastAsia" w:ascii="宋体" w:hAnsi="宋体" w:eastAsia="宋体" w:cs="宋体"/>
          <w:b w:val="0"/>
          <w:color w:val="000000"/>
          <w:sz w:val="24"/>
          <w:highlight w:val="none"/>
          <w:u w:val="single"/>
          <w:lang w:eastAsia="zh-CN"/>
        </w:rPr>
        <w:t>HYTF-202604021</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rPr>
        <w:t>中标供应商。依据《中华人民共和国政府采购法》、《中华人民共和国</w:t>
      </w:r>
      <w:r>
        <w:rPr>
          <w:rFonts w:hint="eastAsia" w:ascii="宋体" w:hAnsi="宋体" w:eastAsia="宋体" w:cs="宋体"/>
          <w:color w:val="000000"/>
          <w:sz w:val="24"/>
          <w:szCs w:val="24"/>
          <w:highlight w:val="none"/>
          <w:lang w:val="en-US" w:eastAsia="zh-CN"/>
        </w:rPr>
        <w:t>民法典</w:t>
      </w:r>
      <w:r>
        <w:rPr>
          <w:rFonts w:hint="eastAsia" w:ascii="宋体" w:hAnsi="宋体" w:eastAsia="宋体" w:cs="宋体"/>
          <w:color w:val="000000"/>
          <w:sz w:val="24"/>
          <w:szCs w:val="24"/>
          <w:highlight w:val="none"/>
        </w:rPr>
        <w:t>》以及招标文件、中标通知书，经甲、乙双方协商，达成如下合同条款。</w:t>
      </w:r>
    </w:p>
    <w:p w14:paraId="6DC45940">
      <w:pPr>
        <w:bidi w:val="0"/>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一、合同标的物内容及数量（以投标文件正本和澄清表〈函〉为准）</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9"/>
        <w:gridCol w:w="3373"/>
        <w:gridCol w:w="2254"/>
        <w:gridCol w:w="1776"/>
      </w:tblGrid>
      <w:tr w14:paraId="7E656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739" w:type="dxa"/>
            <w:noWrap w:val="0"/>
            <w:vAlign w:val="center"/>
          </w:tcPr>
          <w:p w14:paraId="7DE81E62">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序号</w:t>
            </w:r>
          </w:p>
        </w:tc>
        <w:tc>
          <w:tcPr>
            <w:tcW w:w="3373" w:type="dxa"/>
            <w:noWrap w:val="0"/>
            <w:vAlign w:val="center"/>
          </w:tcPr>
          <w:p w14:paraId="34E510DD">
            <w:pPr>
              <w:spacing w:line="360" w:lineRule="auto"/>
              <w:ind w:firstLine="1200" w:firstLineChars="5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服务名称</w:t>
            </w:r>
          </w:p>
        </w:tc>
        <w:tc>
          <w:tcPr>
            <w:tcW w:w="2254" w:type="dxa"/>
            <w:noWrap w:val="0"/>
            <w:vAlign w:val="center"/>
          </w:tcPr>
          <w:p w14:paraId="0D1CB88C">
            <w:pPr>
              <w:spacing w:line="360" w:lineRule="auto"/>
              <w:ind w:firstLine="480" w:firstLineChars="200"/>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服务</w:t>
            </w:r>
            <w:r>
              <w:rPr>
                <w:rFonts w:hint="eastAsia" w:ascii="宋体" w:hAnsi="宋体" w:eastAsia="宋体" w:cs="宋体"/>
                <w:color w:val="000000"/>
                <w:sz w:val="24"/>
                <w:szCs w:val="24"/>
                <w:highlight w:val="none"/>
                <w:lang w:eastAsia="zh-CN"/>
              </w:rPr>
              <w:t>期限</w:t>
            </w:r>
          </w:p>
        </w:tc>
        <w:tc>
          <w:tcPr>
            <w:tcW w:w="1776" w:type="dxa"/>
            <w:noWrap w:val="0"/>
            <w:vAlign w:val="center"/>
          </w:tcPr>
          <w:p w14:paraId="2C0D5547">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金额</w:t>
            </w:r>
          </w:p>
        </w:tc>
      </w:tr>
      <w:tr w14:paraId="6DD86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0A6E02C9">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w:t>
            </w:r>
          </w:p>
        </w:tc>
        <w:tc>
          <w:tcPr>
            <w:tcW w:w="3373" w:type="dxa"/>
            <w:noWrap w:val="0"/>
            <w:vAlign w:val="center"/>
          </w:tcPr>
          <w:p w14:paraId="620E59A8">
            <w:pPr>
              <w:spacing w:line="360" w:lineRule="auto"/>
              <w:rPr>
                <w:rFonts w:hint="default" w:ascii="宋体" w:hAnsi="宋体" w:eastAsia="宋体" w:cs="宋体"/>
                <w:color w:val="000000"/>
                <w:sz w:val="24"/>
                <w:szCs w:val="24"/>
                <w:highlight w:val="none"/>
                <w:lang w:val="en-US"/>
              </w:rPr>
            </w:pPr>
            <w:r>
              <w:rPr>
                <w:rFonts w:hint="eastAsia" w:ascii="宋体" w:hAnsi="宋体" w:eastAsia="宋体" w:cs="宋体"/>
                <w:color w:val="000000"/>
                <w:sz w:val="24"/>
                <w:szCs w:val="24"/>
                <w:highlight w:val="none"/>
                <w:lang w:val="en-US" w:eastAsia="zh-CN"/>
              </w:rPr>
              <w:t>西安市保障性住房管理中心保障房大厅运营项目</w:t>
            </w:r>
          </w:p>
        </w:tc>
        <w:tc>
          <w:tcPr>
            <w:tcW w:w="2254" w:type="dxa"/>
            <w:noWrap w:val="0"/>
            <w:vAlign w:val="center"/>
          </w:tcPr>
          <w:p w14:paraId="326C5811">
            <w:pPr>
              <w:spacing w:line="360" w:lineRule="auto"/>
              <w:ind w:firstLine="480" w:firstLineChars="200"/>
              <w:rPr>
                <w:rFonts w:hint="eastAsia" w:ascii="宋体" w:hAnsi="宋体" w:eastAsia="宋体" w:cs="宋体"/>
                <w:color w:val="000000"/>
                <w:sz w:val="24"/>
                <w:szCs w:val="24"/>
                <w:highlight w:val="none"/>
              </w:rPr>
            </w:pPr>
          </w:p>
        </w:tc>
        <w:tc>
          <w:tcPr>
            <w:tcW w:w="1776" w:type="dxa"/>
            <w:noWrap w:val="0"/>
            <w:vAlign w:val="top"/>
          </w:tcPr>
          <w:p w14:paraId="51047CF6">
            <w:pPr>
              <w:spacing w:line="360" w:lineRule="auto"/>
              <w:ind w:firstLine="480" w:firstLineChars="200"/>
              <w:rPr>
                <w:rFonts w:hint="eastAsia" w:ascii="宋体" w:hAnsi="宋体" w:eastAsia="宋体" w:cs="宋体"/>
                <w:color w:val="000000"/>
                <w:sz w:val="24"/>
                <w:szCs w:val="24"/>
                <w:highlight w:val="none"/>
              </w:rPr>
            </w:pPr>
          </w:p>
          <w:p w14:paraId="368C2906">
            <w:pPr>
              <w:spacing w:line="360" w:lineRule="auto"/>
              <w:ind w:firstLine="480" w:firstLineChars="200"/>
              <w:rPr>
                <w:rFonts w:hint="eastAsia" w:ascii="宋体" w:hAnsi="宋体" w:eastAsia="宋体" w:cs="宋体"/>
                <w:color w:val="000000"/>
                <w:sz w:val="24"/>
                <w:szCs w:val="24"/>
                <w:highlight w:val="none"/>
              </w:rPr>
            </w:pPr>
          </w:p>
        </w:tc>
      </w:tr>
      <w:tr w14:paraId="32C66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39" w:type="dxa"/>
            <w:noWrap w:val="0"/>
            <w:vAlign w:val="center"/>
          </w:tcPr>
          <w:p w14:paraId="15EDAD75">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合计</w:t>
            </w:r>
          </w:p>
        </w:tc>
        <w:tc>
          <w:tcPr>
            <w:tcW w:w="7403" w:type="dxa"/>
            <w:gridSpan w:val="3"/>
            <w:noWrap w:val="0"/>
            <w:vAlign w:val="center"/>
          </w:tcPr>
          <w:p w14:paraId="010A999A">
            <w:pPr>
              <w:spacing w:line="360" w:lineRule="auto"/>
              <w:ind w:firstLine="480" w:firstLineChars="200"/>
              <w:rPr>
                <w:rFonts w:hint="eastAsia" w:ascii="宋体" w:hAnsi="宋体" w:eastAsia="宋体" w:cs="宋体"/>
                <w:color w:val="000000"/>
                <w:sz w:val="24"/>
                <w:szCs w:val="24"/>
                <w:highlight w:val="none"/>
              </w:rPr>
            </w:pPr>
          </w:p>
        </w:tc>
      </w:tr>
      <w:tr w14:paraId="6F271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27545EF4">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说明</w:t>
            </w:r>
          </w:p>
        </w:tc>
        <w:tc>
          <w:tcPr>
            <w:tcW w:w="7403" w:type="dxa"/>
            <w:gridSpan w:val="3"/>
            <w:noWrap w:val="0"/>
            <w:vAlign w:val="center"/>
          </w:tcPr>
          <w:p w14:paraId="585F814C">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详见</w:t>
            </w:r>
            <w:r>
              <w:rPr>
                <w:rFonts w:hint="eastAsia" w:ascii="宋体" w:hAnsi="宋体" w:eastAsia="宋体" w:cs="宋体"/>
                <w:color w:val="000000"/>
                <w:sz w:val="24"/>
                <w:szCs w:val="24"/>
                <w:highlight w:val="none"/>
                <w:lang w:val="en-US" w:eastAsia="zh-CN"/>
              </w:rPr>
              <w:t>竞争性磋商响应</w:t>
            </w:r>
            <w:r>
              <w:rPr>
                <w:rFonts w:hint="eastAsia" w:ascii="宋体" w:hAnsi="宋体" w:eastAsia="宋体" w:cs="宋体"/>
                <w:color w:val="000000"/>
                <w:sz w:val="24"/>
                <w:szCs w:val="24"/>
                <w:highlight w:val="none"/>
              </w:rPr>
              <w:t>文件</w:t>
            </w:r>
          </w:p>
        </w:tc>
      </w:tr>
    </w:tbl>
    <w:p w14:paraId="6A013F6A">
      <w:pPr>
        <w:bidi w:val="0"/>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二、服务条件：</w:t>
      </w:r>
    </w:p>
    <w:p w14:paraId="4EDA9788">
      <w:pPr>
        <w:bidi w:val="0"/>
        <w:spacing w:line="360" w:lineRule="auto"/>
        <w:ind w:firstLine="480" w:firstLineChars="200"/>
        <w:rPr>
          <w:rFonts w:hint="eastAsia" w:ascii="宋体" w:hAnsi="宋体" w:eastAsia="宋体" w:cs="宋体"/>
          <w:color w:val="000000"/>
          <w:sz w:val="24"/>
          <w:szCs w:val="24"/>
          <w:highlight w:val="none"/>
          <w:lang w:val="en-US" w:eastAsia="zh-CN"/>
        </w:rPr>
      </w:pPr>
      <w:r>
        <w:rPr>
          <w:rFonts w:hint="eastAsia" w:ascii="宋体" w:hAnsi="宋体" w:eastAsia="宋体" w:cs="宋体"/>
          <w:sz w:val="24"/>
          <w:szCs w:val="24"/>
          <w:highlight w:val="none"/>
        </w:rPr>
        <w:t>（一）服务地点：</w:t>
      </w:r>
      <w:r>
        <w:rPr>
          <w:rFonts w:hint="eastAsia" w:ascii="宋体" w:hAnsi="宋体" w:eastAsia="宋体" w:cs="宋体"/>
          <w:color w:val="000000"/>
          <w:sz w:val="24"/>
          <w:szCs w:val="24"/>
          <w:highlight w:val="none"/>
          <w:lang w:val="en-US" w:eastAsia="zh-CN"/>
        </w:rPr>
        <w:t>西安市保障性住房服务大厅（长安区书香路288号）。</w:t>
      </w:r>
    </w:p>
    <w:p w14:paraId="5A384DF4">
      <w:pPr>
        <w:bidi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sz w:val="24"/>
          <w:szCs w:val="24"/>
          <w:highlight w:val="none"/>
        </w:rPr>
        <w:t>（二）服务</w:t>
      </w:r>
      <w:r>
        <w:rPr>
          <w:rFonts w:hint="eastAsia" w:ascii="宋体" w:hAnsi="宋体" w:eastAsia="宋体" w:cs="宋体"/>
          <w:color w:val="auto"/>
          <w:sz w:val="24"/>
          <w:szCs w:val="24"/>
          <w:highlight w:val="none"/>
        </w:rPr>
        <w:t>期：</w:t>
      </w:r>
      <w:r>
        <w:rPr>
          <w:rFonts w:hint="eastAsia" w:ascii="宋体" w:hAnsi="宋体" w:eastAsia="宋体" w:cs="宋体"/>
          <w:color w:val="auto"/>
          <w:kern w:val="0"/>
          <w:sz w:val="24"/>
          <w:szCs w:val="24"/>
          <w:highlight w:val="none"/>
          <w:lang w:val="en-US" w:eastAsia="zh-CN" w:bidi="ar"/>
        </w:rPr>
        <w:t>自签订合同之日起十二个月，或以双方签订合同时约定的起止时间为准</w:t>
      </w:r>
      <w:r>
        <w:rPr>
          <w:rFonts w:hint="eastAsia" w:ascii="宋体" w:hAnsi="宋体" w:eastAsia="宋体" w:cs="宋体"/>
          <w:color w:val="auto"/>
          <w:sz w:val="24"/>
          <w:szCs w:val="24"/>
          <w:highlight w:val="none"/>
        </w:rPr>
        <w:t>。</w:t>
      </w:r>
    </w:p>
    <w:p w14:paraId="3EC10AF5">
      <w:pPr>
        <w:bidi w:val="0"/>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三、合同价款</w:t>
      </w:r>
    </w:p>
    <w:p w14:paraId="407BE403">
      <w:pPr>
        <w:spacing w:line="360" w:lineRule="auto"/>
        <w:ind w:firstLine="480" w:firstLineChars="200"/>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(一)合同总价，</w:t>
      </w:r>
      <w:r>
        <w:rPr>
          <w:rFonts w:hint="eastAsia" w:ascii="宋体" w:hAnsi="宋体" w:eastAsia="宋体" w:cs="宋体"/>
          <w:color w:val="000000"/>
          <w:kern w:val="2"/>
          <w:sz w:val="24"/>
          <w:szCs w:val="24"/>
          <w:highlight w:val="none"/>
          <w:lang w:val="en-US" w:eastAsia="zh-CN"/>
        </w:rPr>
        <w:t>负责该办事大厅所有业务所需要的全部费用支出，包括但不限于以下费用：运营基础费用、业务服务费用、网络（专线）费、通讯费、日常办公费、纯净水的购买、绿化费、大厅内所有物品的日常维护及维修费用、所有附着设备的日常维护与维修费用、创卫美化提升、安全生产防火防汛、大厅内消防设备及安防系统安装费、大厅运行相关其他费用及乙方为履行本合同过程所提供的一切服务费用以及由该服务费所产生的相关税费</w:t>
      </w:r>
      <w:r>
        <w:rPr>
          <w:rFonts w:hint="eastAsia" w:ascii="宋体" w:hAnsi="宋体" w:eastAsia="宋体" w:cs="宋体"/>
          <w:color w:val="000000"/>
          <w:sz w:val="24"/>
          <w:szCs w:val="24"/>
          <w:highlight w:val="none"/>
          <w:lang w:val="en-US" w:eastAsia="zh-CN"/>
        </w:rPr>
        <w:t>。</w:t>
      </w:r>
    </w:p>
    <w:p w14:paraId="3332908A">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（二）合同总价一次性包死，不受市场价格变化或实际工作量变化的影响。</w:t>
      </w:r>
    </w:p>
    <w:p w14:paraId="507ECCB2">
      <w:pPr>
        <w:spacing w:line="360" w:lineRule="auto"/>
        <w:ind w:firstLine="482" w:firstLineChars="20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四、款项结算</w:t>
      </w:r>
    </w:p>
    <w:p w14:paraId="55D33E11">
      <w:pPr>
        <w:pStyle w:val="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sz w:val="24"/>
          <w:szCs w:val="24"/>
          <w:highlight w:val="none"/>
          <w:lang w:eastAsia="zh-CN"/>
        </w:rPr>
        <w:t>（一）</w:t>
      </w:r>
      <w:r>
        <w:rPr>
          <w:rFonts w:hint="eastAsia" w:ascii="宋体" w:hAnsi="宋体" w:eastAsia="宋体" w:cs="宋体"/>
          <w:sz w:val="24"/>
          <w:szCs w:val="24"/>
          <w:highlight w:val="none"/>
          <w:u w:val="single"/>
          <w:lang w:val="en-US" w:eastAsia="zh-CN"/>
        </w:rPr>
        <w:t>双方签订合同后，乙方应向甲方提供履约保函(履约保函金额为合同总价款的5%)</w:t>
      </w:r>
      <w:r>
        <w:rPr>
          <w:rFonts w:hint="eastAsia" w:ascii="宋体" w:hAnsi="宋体" w:eastAsia="宋体" w:cs="宋体"/>
          <w:color w:val="auto"/>
          <w:sz w:val="24"/>
          <w:szCs w:val="24"/>
          <w:highlight w:val="none"/>
        </w:rPr>
        <w:t>，达到付款条件起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10 </w:t>
      </w:r>
      <w:r>
        <w:rPr>
          <w:rFonts w:hint="eastAsia" w:ascii="宋体" w:hAnsi="宋体" w:eastAsia="宋体" w:cs="宋体"/>
          <w:color w:val="auto"/>
          <w:sz w:val="24"/>
          <w:szCs w:val="24"/>
          <w:highlight w:val="none"/>
        </w:rPr>
        <w:t>日内，支付合同总金额的</w:t>
      </w:r>
      <w:r>
        <w:rPr>
          <w:rFonts w:hint="eastAsia" w:ascii="宋体" w:hAnsi="宋体" w:eastAsia="宋体" w:cs="宋体"/>
          <w:color w:val="auto"/>
          <w:sz w:val="24"/>
          <w:szCs w:val="24"/>
          <w:highlight w:val="none"/>
          <w:u w:val="single"/>
          <w:lang w:val="en-US" w:eastAsia="zh-CN"/>
        </w:rPr>
        <w:t xml:space="preserve"> 50 </w:t>
      </w:r>
      <w:r>
        <w:rPr>
          <w:rFonts w:hint="eastAsia" w:ascii="宋体" w:hAnsi="宋体" w:eastAsia="宋体" w:cs="宋体"/>
          <w:color w:val="auto"/>
          <w:sz w:val="24"/>
          <w:szCs w:val="24"/>
          <w:highlight w:val="none"/>
        </w:rPr>
        <w:t>%。（即人民币大写：</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；小写：</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lang w:val="en-US" w:eastAsia="zh-CN"/>
        </w:rPr>
        <w:t xml:space="preserve">       元</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p>
    <w:p w14:paraId="3A3C3053">
      <w:pPr>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(二)</w:t>
      </w:r>
      <w:r>
        <w:rPr>
          <w:rFonts w:hint="eastAsia" w:ascii="宋体" w:hAnsi="宋体" w:eastAsia="宋体" w:cs="宋体"/>
          <w:color w:val="auto"/>
          <w:sz w:val="24"/>
          <w:szCs w:val="24"/>
          <w:highlight w:val="none"/>
          <w:u w:val="single"/>
          <w:lang w:val="en-US" w:eastAsia="zh-CN"/>
        </w:rPr>
        <w:t>服务期过半</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甲方对乙方上半期工作进行验收，验收合格后</w:t>
      </w:r>
      <w:r>
        <w:rPr>
          <w:rFonts w:hint="eastAsia" w:ascii="宋体" w:hAnsi="宋体" w:eastAsia="宋体" w:cs="宋体"/>
          <w:color w:val="auto"/>
          <w:sz w:val="24"/>
          <w:szCs w:val="24"/>
          <w:highlight w:val="none"/>
        </w:rPr>
        <w:t>，达到付款条件起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10</w:t>
      </w:r>
      <w:r>
        <w:rPr>
          <w:rFonts w:hint="eastAsia" w:ascii="宋体" w:hAnsi="宋体" w:eastAsia="宋体" w:cs="宋体"/>
          <w:color w:val="auto"/>
          <w:sz w:val="24"/>
          <w:szCs w:val="24"/>
          <w:highlight w:val="none"/>
        </w:rPr>
        <w:t>日内，支付合同总金额的</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50  </w:t>
      </w:r>
      <w:r>
        <w:rPr>
          <w:rFonts w:hint="eastAsia" w:ascii="宋体" w:hAnsi="宋体" w:eastAsia="宋体" w:cs="宋体"/>
          <w:color w:val="auto"/>
          <w:sz w:val="24"/>
          <w:szCs w:val="24"/>
          <w:highlight w:val="none"/>
        </w:rPr>
        <w:t>%。</w:t>
      </w:r>
      <w:r>
        <w:rPr>
          <w:rFonts w:hint="eastAsia" w:ascii="宋体" w:hAnsi="宋体" w:eastAsia="宋体" w:cs="宋体"/>
          <w:sz w:val="24"/>
          <w:szCs w:val="24"/>
          <w:highlight w:val="none"/>
          <w:lang w:eastAsia="zh-CN"/>
        </w:rPr>
        <w:t>(即人民币大写：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eastAsia="zh-CN"/>
        </w:rPr>
        <w:t>；小写：</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元</w:t>
      </w:r>
      <w:r>
        <w:rPr>
          <w:rFonts w:hint="eastAsia" w:ascii="宋体" w:hAnsi="宋体" w:eastAsia="宋体" w:cs="宋体"/>
          <w:sz w:val="24"/>
          <w:szCs w:val="24"/>
          <w:highlight w:val="none"/>
          <w:lang w:eastAsia="zh-CN"/>
        </w:rPr>
        <w:t>）。</w:t>
      </w:r>
    </w:p>
    <w:p w14:paraId="4E736BF2">
      <w:pPr>
        <w:spacing w:line="360" w:lineRule="auto"/>
        <w:ind w:firstLine="720" w:firstLineChars="3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说明：服务期满，甲方对乙方年度运营服务质量进行验收，验收合格，由甲方出具验收合格单，乙方办理履约保证金的退还事宜；验收不合格，按照程序扣除履约保证金。</w:t>
      </w:r>
    </w:p>
    <w:p w14:paraId="3247FB81">
      <w:pPr>
        <w:bidi w:val="0"/>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三</w:t>
      </w:r>
      <w:r>
        <w:rPr>
          <w:rFonts w:hint="eastAsia" w:ascii="宋体" w:hAnsi="宋体" w:eastAsia="宋体" w:cs="宋体"/>
          <w:b w:val="0"/>
          <w:bCs w:val="0"/>
          <w:color w:val="auto"/>
          <w:sz w:val="24"/>
          <w:szCs w:val="24"/>
          <w:highlight w:val="none"/>
        </w:rPr>
        <w:t>)支付方式:银行转账。</w:t>
      </w:r>
    </w:p>
    <w:p w14:paraId="74360C94">
      <w:pPr>
        <w:bidi w:val="0"/>
        <w:spacing w:line="360" w:lineRule="auto"/>
        <w:ind w:firstLine="720" w:firstLineChars="300"/>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rPr>
        <w:t>账</w:t>
      </w:r>
      <w:r>
        <w:rPr>
          <w:rFonts w:hint="eastAsia" w:ascii="宋体" w:hAnsi="宋体" w:eastAsia="宋体" w:cs="宋体"/>
          <w:b w:val="0"/>
          <w:bCs w:val="0"/>
          <w:sz w:val="24"/>
          <w:szCs w:val="24"/>
          <w:highlight w:val="none"/>
          <w:lang w:val="en-US" w:eastAsia="zh-CN"/>
        </w:rPr>
        <w:t xml:space="preserve"> </w:t>
      </w:r>
      <w:r>
        <w:rPr>
          <w:rFonts w:hint="eastAsia" w:ascii="宋体" w:hAnsi="宋体" w:eastAsia="宋体" w:cs="宋体"/>
          <w:b w:val="0"/>
          <w:bCs w:val="0"/>
          <w:sz w:val="24"/>
          <w:szCs w:val="24"/>
          <w:highlight w:val="none"/>
        </w:rPr>
        <w:t>户</w:t>
      </w:r>
      <w:r>
        <w:rPr>
          <w:rFonts w:hint="eastAsia" w:ascii="宋体" w:hAnsi="宋体" w:eastAsia="宋体" w:cs="宋体"/>
          <w:b w:val="0"/>
          <w:bCs w:val="0"/>
          <w:sz w:val="24"/>
          <w:szCs w:val="24"/>
          <w:highlight w:val="none"/>
          <w:lang w:val="en-US" w:eastAsia="zh-CN"/>
        </w:rPr>
        <w:t xml:space="preserve"> </w:t>
      </w:r>
      <w:r>
        <w:rPr>
          <w:rFonts w:hint="eastAsia" w:ascii="宋体" w:hAnsi="宋体" w:eastAsia="宋体" w:cs="宋体"/>
          <w:b w:val="0"/>
          <w:bCs w:val="0"/>
          <w:sz w:val="24"/>
          <w:szCs w:val="24"/>
          <w:highlight w:val="none"/>
        </w:rPr>
        <w:t>名:</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lang w:val="en-US" w:eastAsia="zh-CN"/>
        </w:rPr>
        <w:t xml:space="preserve"> </w:t>
      </w:r>
    </w:p>
    <w:p w14:paraId="6D94AA76">
      <w:pPr>
        <w:bidi w:val="0"/>
        <w:spacing w:line="360" w:lineRule="auto"/>
        <w:ind w:firstLine="720" w:firstLineChars="3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开户银行:</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lang w:val="en-US" w:eastAsia="zh-CN"/>
        </w:rPr>
        <w:t xml:space="preserve"> </w:t>
      </w:r>
    </w:p>
    <w:p w14:paraId="09821890">
      <w:pPr>
        <w:bidi w:val="0"/>
        <w:spacing w:line="360" w:lineRule="auto"/>
        <w:ind w:firstLine="720" w:firstLineChars="300"/>
        <w:rPr>
          <w:rFonts w:hint="eastAsia" w:ascii="宋体" w:hAnsi="宋体" w:eastAsia="宋体" w:cs="宋体"/>
          <w:color w:val="000000"/>
          <w:sz w:val="24"/>
          <w:szCs w:val="24"/>
          <w:highlight w:val="none"/>
        </w:rPr>
      </w:pPr>
      <w:r>
        <w:rPr>
          <w:rFonts w:hint="eastAsia" w:ascii="宋体" w:hAnsi="宋体" w:eastAsia="宋体" w:cs="宋体"/>
          <w:b w:val="0"/>
          <w:bCs w:val="0"/>
          <w:sz w:val="24"/>
          <w:szCs w:val="24"/>
          <w:highlight w:val="none"/>
        </w:rPr>
        <w:t>帐</w:t>
      </w:r>
      <w:r>
        <w:rPr>
          <w:rFonts w:hint="eastAsia" w:ascii="宋体" w:hAnsi="宋体" w:eastAsia="宋体" w:cs="宋体"/>
          <w:b w:val="0"/>
          <w:bCs w:val="0"/>
          <w:sz w:val="24"/>
          <w:szCs w:val="24"/>
          <w:highlight w:val="none"/>
          <w:lang w:val="en-US" w:eastAsia="zh-CN"/>
        </w:rPr>
        <w:t xml:space="preserve">    </w:t>
      </w:r>
      <w:r>
        <w:rPr>
          <w:rFonts w:hint="eastAsia" w:ascii="宋体" w:hAnsi="宋体" w:eastAsia="宋体" w:cs="宋体"/>
          <w:b w:val="0"/>
          <w:bCs w:val="0"/>
          <w:sz w:val="24"/>
          <w:szCs w:val="24"/>
          <w:highlight w:val="none"/>
        </w:rPr>
        <w:t>号:</w:t>
      </w:r>
      <w:r>
        <w:rPr>
          <w:rFonts w:hint="eastAsia" w:ascii="宋体" w:hAnsi="宋体" w:eastAsia="宋体" w:cs="宋体"/>
          <w:b w:val="0"/>
          <w:bCs w:val="0"/>
          <w:sz w:val="24"/>
          <w:szCs w:val="24"/>
          <w:highlight w:val="none"/>
          <w:u w:val="single"/>
          <w:lang w:val="en-US" w:eastAsia="zh-CN"/>
        </w:rPr>
        <w:t xml:space="preserve">                               </w:t>
      </w:r>
    </w:p>
    <w:p w14:paraId="1B5291FE">
      <w:pPr>
        <w:numPr>
          <w:ilvl w:val="0"/>
          <w:numId w:val="0"/>
        </w:num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四</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结算方式:乙方应于甲方每次付款前，持政府采购项目验收单（一式五份）、当次付款金额相符的增值税普通发票（按合同总价直开甲方）、中标通知书及服</w:t>
      </w:r>
      <w:r>
        <w:rPr>
          <w:rFonts w:hint="eastAsia" w:ascii="宋体" w:hAnsi="宋体" w:eastAsia="宋体" w:cs="宋体"/>
          <w:color w:val="auto"/>
          <w:sz w:val="24"/>
          <w:szCs w:val="24"/>
          <w:highlight w:val="none"/>
        </w:rPr>
        <w:t>务合同，与甲方结算。</w:t>
      </w:r>
    </w:p>
    <w:p w14:paraId="138E88F9">
      <w:pPr>
        <w:numPr>
          <w:ilvl w:val="0"/>
          <w:numId w:val="0"/>
        </w:num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（五）待合同服务期满，乙方所有服务工作履约结束且满足本合同约定后，甲方退还乙方履约保证金。</w:t>
      </w:r>
    </w:p>
    <w:p w14:paraId="7C8CD510">
      <w:pPr>
        <w:bidi w:val="0"/>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五、双方的权利和义务</w:t>
      </w:r>
    </w:p>
    <w:p w14:paraId="0D7CEE7A">
      <w:pPr>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(一)甲方的权利和义务</w:t>
      </w:r>
    </w:p>
    <w:p w14:paraId="7CF63223">
      <w:pPr>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1、甲方有权利对乙方指派工作人员进行业务培训及指导，有权向乙方提出指派工作人员管理的意见和建议，并教育督促本单位员工支持配合乙方指派工作人员履行职责。</w:t>
      </w:r>
    </w:p>
    <w:p w14:paraId="0489B097">
      <w:pPr>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2、甲方有权对乙方指派工作人员进行工作安排、调度、监督和考核其工作质量。</w:t>
      </w:r>
    </w:p>
    <w:p w14:paraId="57E93CDB">
      <w:pPr>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3、甲方有权根据工作需要和乙方指派工作人员的工作表现，调整乙方指派工作人员的工作岗位并告知乙方，由乙方负责与指派工作人员协商。</w:t>
      </w:r>
    </w:p>
    <w:p w14:paraId="0B0077BA">
      <w:pPr>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4、如果由于乙方的责任而造成甲方不能按时付款的，甲方不承担违约责任。</w:t>
      </w:r>
    </w:p>
    <w:p w14:paraId="2900EB39">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5、甲方有权审定乙方提交的服务方案、制度及其他管理规定。</w:t>
      </w:r>
    </w:p>
    <w:p w14:paraId="1B84A53B">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6、甲方有权检查、监督、考核乙方服务的实施和管理制度的执行情况。</w:t>
      </w:r>
    </w:p>
    <w:p w14:paraId="0D8F6A49">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7、甲方有权审核乙方年度工作计划、工作报告，并提出整改意见。</w:t>
      </w:r>
    </w:p>
    <w:p w14:paraId="52061239">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8、乙方未按本合同及招标、投标文件的约定履行的，甲方有权进行催告，乙方</w:t>
      </w:r>
      <w:r>
        <w:rPr>
          <w:rFonts w:hint="eastAsia" w:ascii="宋体" w:hAnsi="宋体" w:eastAsia="宋体" w:cs="宋体"/>
          <w:color w:val="000000"/>
          <w:sz w:val="24"/>
          <w:szCs w:val="24"/>
          <w:highlight w:val="none"/>
          <w:lang w:val="en-US" w:eastAsia="zh-CN"/>
        </w:rPr>
        <w:t>经催告后两日内仍</w:t>
      </w:r>
      <w:r>
        <w:rPr>
          <w:rFonts w:hint="eastAsia" w:ascii="宋体" w:hAnsi="宋体" w:eastAsia="宋体" w:cs="宋体"/>
          <w:color w:val="000000"/>
          <w:sz w:val="24"/>
          <w:szCs w:val="24"/>
          <w:highlight w:val="none"/>
        </w:rPr>
        <w:t>未按甲方要求整改的，甲方有权解除本合同，</w:t>
      </w:r>
      <w:bookmarkStart w:id="0" w:name="_Hlk536616865"/>
      <w:r>
        <w:rPr>
          <w:rFonts w:hint="eastAsia" w:ascii="宋体" w:hAnsi="宋体" w:eastAsia="宋体" w:cs="宋体"/>
          <w:color w:val="000000"/>
          <w:sz w:val="24"/>
          <w:szCs w:val="24"/>
          <w:highlight w:val="none"/>
        </w:rPr>
        <w:t>未支付的费用不予支付，</w:t>
      </w:r>
      <w:bookmarkEnd w:id="0"/>
      <w:r>
        <w:rPr>
          <w:rFonts w:hint="eastAsia" w:ascii="宋体" w:hAnsi="宋体" w:eastAsia="宋体" w:cs="宋体"/>
          <w:color w:val="000000"/>
          <w:sz w:val="24"/>
          <w:szCs w:val="24"/>
          <w:highlight w:val="none"/>
        </w:rPr>
        <w:t>甲方还有权要求乙方赔偿全部直接和间接损失。</w:t>
      </w:r>
    </w:p>
    <w:p w14:paraId="3A3BD859">
      <w:pPr>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(二)乙方的权利和义务</w:t>
      </w:r>
    </w:p>
    <w:p w14:paraId="67FC1FD1">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乙方应按照甲方的要求指派合格并满足甲方要求的工作人员，并对其指派工作人员进行经常性的职业道德教育，监督检查指派工作人员执行甲方的各项规章制度情况，对违反规章制度或不符合甲方要求的指派工作人员进行处理，及时更换不能胜任的指派工作人员，维护甲方的正常工作秩序。</w:t>
      </w:r>
    </w:p>
    <w:p w14:paraId="7252F4EF">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2、乙方应向甲方提供指派工作人员有关资料，包括个人信息、健康证、劳动合同、社会保险证明、学历证明等个人资料。</w:t>
      </w:r>
    </w:p>
    <w:p w14:paraId="1E74035D">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乙方所指派工作人员的劳动人事关系归属乙方，与甲方无关。乙方应负责为指派工作人员办理劳动用工手续(签订劳动合同)，负责指派工作人员的工资、社会保验、福利待遇、基础上岗培训等人事管理工作，并负责合同服务期内所有劳动、劳务、劳资纠纷和调节管理纠纷以及因其指派工作人员引起的全部纠纷。乙方应对其所指派的工作人员的所有行为及其后果独立承担全部责任，如因其指派的工作人员出现工伤、疾病、意外伤害，或侵犯甲方或其他任何主体的任何权利，或造成指派工作人员自身或任何主体人身或财产损害，或引发任何纠纷或投诉等，均由乙方自行负责及时妥善处理，甲方对此不承担任何责任，如因此给甲方造成损失，乙方应赔偿甲方全部损失。</w:t>
      </w:r>
    </w:p>
    <w:p w14:paraId="139FE768">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4、乙方应按时足额缴纳</w:t>
      </w:r>
      <w:r>
        <w:rPr>
          <w:rFonts w:hint="eastAsia" w:ascii="宋体" w:hAnsi="宋体" w:eastAsia="宋体" w:cs="宋体"/>
          <w:color w:val="000000"/>
          <w:sz w:val="24"/>
          <w:szCs w:val="24"/>
          <w:highlight w:val="none"/>
          <w:lang w:val="en-US" w:eastAsia="zh-CN"/>
        </w:rPr>
        <w:t>相关</w:t>
      </w:r>
      <w:r>
        <w:rPr>
          <w:rFonts w:hint="eastAsia" w:ascii="宋体" w:hAnsi="宋体" w:eastAsia="宋体" w:cs="宋体"/>
          <w:color w:val="000000"/>
          <w:sz w:val="24"/>
          <w:szCs w:val="24"/>
          <w:highlight w:val="none"/>
        </w:rPr>
        <w:t>费用，负责一切与办事服务大厅的相关办公费用，并接受甲方的检查和监督，任何因未及时缴纳费用而对办事大厅造成工作影响的后果均由乙方负责，甲方对此不承担任何责任，给甲方造成损失的，乙方应当赔偿甲方全部损失。</w:t>
      </w:r>
    </w:p>
    <w:p w14:paraId="32381A68">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乙方有义务对办事大厅内所有物品以及建筑进行妥善使用，服务期间所有办公家具、办公设备、公共设备以及建筑内所有附着物品的损坏均由乙方负责，若因未及时修复或更换所产生的一切后果均由乙方负责。</w:t>
      </w:r>
    </w:p>
    <w:p w14:paraId="6E983C14">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乙方应于合同约定的起始时间提前10日进驻服务地点，与上一任服务公司做好交接配合，尽快熟悉相关工作，以合同约定的起始时间提供服务。与之相同，乙方应于合同期满前10日，与下一任服务公司做好交接配合，友好相处，给下一任服务公司提供熟悉相关工作的条件。</w:t>
      </w:r>
    </w:p>
    <w:p w14:paraId="2AA5E432">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7、未经甲方书面同意，乙方不得转包、分包本合同项目，不得将本合同约定的服务内容部分或全部转给第三方，否则甲方有权解除合同，并有权要求乙方支付本合同总价</w:t>
      </w:r>
      <w:r>
        <w:rPr>
          <w:rFonts w:hint="default" w:ascii="宋体" w:hAnsi="宋体" w:eastAsia="宋体" w:cs="宋体"/>
          <w:highlight w:val="none"/>
          <w:lang w:val="en-US" w:eastAsia="zh-CN"/>
        </w:rPr>
        <w:t>5</w:t>
      </w:r>
      <w:r>
        <w:rPr>
          <w:rFonts w:hint="eastAsia" w:ascii="宋体" w:hAnsi="宋体" w:eastAsia="宋体" w:cs="宋体"/>
          <w:highlight w:val="none"/>
        </w:rPr>
        <w:t>%</w:t>
      </w:r>
      <w:r>
        <w:rPr>
          <w:rFonts w:hint="eastAsia" w:ascii="宋体" w:hAnsi="宋体" w:eastAsia="宋体" w:cs="宋体"/>
          <w:color w:val="000000"/>
          <w:sz w:val="24"/>
          <w:szCs w:val="24"/>
          <w:highlight w:val="none"/>
        </w:rPr>
        <w:t>“即为人民币大写：</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，小写</w:t>
      </w:r>
      <w:r>
        <w:rPr>
          <w:rFonts w:hint="eastAsia" w:ascii="宋体" w:hAnsi="宋体" w:eastAsia="宋体" w:cs="宋体"/>
          <w:color w:val="000000"/>
          <w:sz w:val="24"/>
          <w:szCs w:val="24"/>
          <w:highlight w:val="none"/>
          <w:u w:val="none"/>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的违约金，并赔偿由此给甲方造成的全部直接和间接经济损失。</w:t>
      </w:r>
    </w:p>
    <w:p w14:paraId="56BF2E14">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8、本合同终止时，乙方应于本合同终止之日起3日内向甲方移交办事大厅所有办公家具、办公设备、公共设备及建筑物内所有附着物品，如有损坏，乙方应</w:t>
      </w:r>
      <w:r>
        <w:rPr>
          <w:rFonts w:hint="eastAsia" w:ascii="宋体" w:hAnsi="宋体" w:eastAsia="宋体" w:cs="宋体"/>
          <w:color w:val="000000"/>
          <w:sz w:val="24"/>
          <w:szCs w:val="24"/>
          <w:highlight w:val="none"/>
          <w:lang w:val="en-US" w:eastAsia="zh-CN"/>
        </w:rPr>
        <w:t>按照购买时的价格</w:t>
      </w:r>
      <w:r>
        <w:rPr>
          <w:rFonts w:hint="eastAsia" w:ascii="宋体" w:hAnsi="宋体" w:eastAsia="宋体" w:cs="宋体"/>
          <w:color w:val="000000"/>
          <w:sz w:val="24"/>
          <w:szCs w:val="24"/>
          <w:highlight w:val="none"/>
        </w:rPr>
        <w:t>予以赔偿。</w:t>
      </w:r>
    </w:p>
    <w:p w14:paraId="76F9BB6E">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9、乙方应严格按照本合同以及招标、投标文件的约定履行合同义务，并保证服务质量和服务的及时性。</w:t>
      </w:r>
    </w:p>
    <w:p w14:paraId="52CEB6D7">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10、乙方应充分考虑到合同履行期间可能带来的人身伤害，应做好相应的保护措施以及购买相应的商业保险等，在项目实施过程中发生的任何事故所导致的责任（包括但不限于：民事责任、刑事责任、行政责任）全部由乙方负责，与甲方无关</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由乙方自行承担相关责任</w:t>
      </w:r>
      <w:r>
        <w:rPr>
          <w:rFonts w:hint="eastAsia" w:ascii="宋体" w:hAnsi="宋体" w:eastAsia="宋体" w:cs="宋体"/>
          <w:color w:val="000000"/>
          <w:sz w:val="24"/>
          <w:szCs w:val="24"/>
          <w:highlight w:val="none"/>
        </w:rPr>
        <w:t>。</w:t>
      </w:r>
    </w:p>
    <w:p w14:paraId="47545C82">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六、质量保证</w:t>
      </w:r>
    </w:p>
    <w:p w14:paraId="65AD2BEA">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乙方所供服务必须执行下列条款:</w:t>
      </w:r>
    </w:p>
    <w:p w14:paraId="47AFC9F4">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(一)在服务范围内按具体工作内容和要求制定详细的工作方案，工作方案科学、合理、可靠并符合甲方要求。</w:t>
      </w:r>
    </w:p>
    <w:p w14:paraId="059506F6">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(二)乙方指派的工作人员技术队伍配备合理。有针对本项目的专项服务小组，项目负责人、工作人员分工明确(应有具体成员名单，包括姓名、工作职责、联系方式等)。</w:t>
      </w:r>
    </w:p>
    <w:p w14:paraId="671437DD">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(三)有各类突发事件的应急预案和措施，有明确具体的承诺。</w:t>
      </w:r>
    </w:p>
    <w:p w14:paraId="6B5A1078">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(四)服务期间，如经甲方核实因乙方指派的工作人员工作失职</w:t>
      </w:r>
      <w:r>
        <w:rPr>
          <w:rFonts w:hint="eastAsia" w:ascii="宋体" w:hAnsi="宋体" w:eastAsia="宋体" w:cs="宋体"/>
          <w:color w:val="000000"/>
          <w:sz w:val="24"/>
          <w:szCs w:val="24"/>
          <w:highlight w:val="none"/>
          <w:lang w:val="en-US" w:eastAsia="zh-CN"/>
        </w:rPr>
        <w:t>态</w:t>
      </w:r>
      <w:r>
        <w:rPr>
          <w:rFonts w:hint="eastAsia" w:ascii="宋体" w:hAnsi="宋体" w:eastAsia="宋体" w:cs="宋体"/>
          <w:color w:val="000000"/>
          <w:sz w:val="24"/>
          <w:szCs w:val="24"/>
          <w:highlight w:val="none"/>
        </w:rPr>
        <w:t>度恶劣、违反相关工作制度等情况，受到办事群众投诉累计每月三次以(含三次)，甲方有权要求立即更换被投诉工作人员，如乙方不予更换工作人员，</w:t>
      </w:r>
      <w:r>
        <w:rPr>
          <w:rFonts w:hint="eastAsia" w:ascii="宋体" w:hAnsi="宋体" w:eastAsia="宋体" w:cs="宋体"/>
          <w:color w:val="000000"/>
          <w:sz w:val="24"/>
          <w:szCs w:val="24"/>
          <w:highlight w:val="none"/>
          <w:lang w:val="en-US" w:eastAsia="zh-CN"/>
        </w:rPr>
        <w:t>视为乙方根本违约，</w:t>
      </w:r>
      <w:r>
        <w:rPr>
          <w:rFonts w:hint="eastAsia" w:ascii="宋体" w:hAnsi="宋体" w:eastAsia="宋体" w:cs="宋体"/>
          <w:color w:val="000000"/>
          <w:sz w:val="24"/>
          <w:szCs w:val="24"/>
          <w:highlight w:val="none"/>
        </w:rPr>
        <w:t>甲方有权解除该合同，除剩余合同款项不予支付外，甲方还有权要求乙方支付本合同总价款</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％“即为人民币大写：</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，小写：</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元</w:t>
      </w:r>
      <w:r>
        <w:rPr>
          <w:rFonts w:hint="eastAsia" w:ascii="宋体" w:hAnsi="宋体" w:eastAsia="宋体" w:cs="宋体"/>
          <w:color w:val="000000"/>
          <w:sz w:val="24"/>
          <w:szCs w:val="24"/>
          <w:highlight w:val="none"/>
        </w:rPr>
        <w:t>”的违约金，如给甲方造成损失的，乙方还应赔偿甲方全部损失</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包括但不限于律师费、诉讼费、保函费、鉴定费等费用。服务商提供的服务，若发生侵权而产生的一切后果，由其负责。甲方保留索赔权利。</w:t>
      </w:r>
    </w:p>
    <w:p w14:paraId="39D06723">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七、验收</w:t>
      </w:r>
    </w:p>
    <w:p w14:paraId="3F0A4C65">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(一)乙方应向甲方提供服务过程中的所有资料，以便甲方日后管理和维护。服务期结束后，甲方根据合同要求，进行验收，确认服务标准和质量。验收合格后，填写项目验收</w:t>
      </w:r>
      <w:r>
        <w:rPr>
          <w:rFonts w:hint="eastAsia" w:ascii="宋体" w:hAnsi="宋体" w:eastAsia="宋体" w:cs="宋体"/>
          <w:color w:val="000000"/>
          <w:sz w:val="24"/>
          <w:szCs w:val="24"/>
          <w:highlight w:val="none"/>
          <w:lang w:eastAsia="zh-CN"/>
        </w:rPr>
        <w:t>合格</w:t>
      </w:r>
      <w:r>
        <w:rPr>
          <w:rFonts w:hint="eastAsia" w:ascii="宋体" w:hAnsi="宋体" w:eastAsia="宋体" w:cs="宋体"/>
          <w:color w:val="000000"/>
          <w:sz w:val="24"/>
          <w:szCs w:val="24"/>
          <w:highlight w:val="none"/>
        </w:rPr>
        <w:t>单作为对项目的最终认可。</w:t>
      </w:r>
    </w:p>
    <w:p w14:paraId="765D4A40">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(二)验收依据</w:t>
      </w:r>
    </w:p>
    <w:p w14:paraId="32121AEA">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w:t>
      </w:r>
      <w:r>
        <w:rPr>
          <w:rFonts w:hint="eastAsia" w:ascii="宋体" w:hAnsi="宋体" w:eastAsia="宋体" w:cs="宋体"/>
          <w:color w:val="000000"/>
          <w:sz w:val="24"/>
          <w:szCs w:val="24"/>
          <w:highlight w:val="none"/>
          <w:lang w:val="en-US" w:eastAsia="zh-CN"/>
        </w:rPr>
        <w:t>竞争性磋商</w:t>
      </w:r>
      <w:r>
        <w:rPr>
          <w:rFonts w:hint="eastAsia" w:ascii="宋体" w:hAnsi="宋体" w:eastAsia="宋体" w:cs="宋体"/>
          <w:color w:val="000000"/>
          <w:sz w:val="24"/>
          <w:szCs w:val="24"/>
          <w:highlight w:val="none"/>
        </w:rPr>
        <w:t>文件、</w:t>
      </w:r>
      <w:r>
        <w:rPr>
          <w:rFonts w:hint="eastAsia" w:ascii="宋体" w:hAnsi="宋体" w:eastAsia="宋体" w:cs="宋体"/>
          <w:color w:val="000000"/>
          <w:sz w:val="24"/>
          <w:szCs w:val="24"/>
          <w:highlight w:val="none"/>
          <w:lang w:val="en-US" w:eastAsia="zh-CN"/>
        </w:rPr>
        <w:t>竞争性磋商响应</w:t>
      </w:r>
      <w:r>
        <w:rPr>
          <w:rFonts w:hint="eastAsia" w:ascii="宋体" w:hAnsi="宋体" w:eastAsia="宋体" w:cs="宋体"/>
          <w:color w:val="000000"/>
          <w:sz w:val="24"/>
          <w:szCs w:val="24"/>
          <w:highlight w:val="none"/>
        </w:rPr>
        <w:t>文件、澄清表(函);</w:t>
      </w:r>
    </w:p>
    <w:p w14:paraId="7CE01913">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2、本合同及附件文本</w:t>
      </w:r>
      <w:r>
        <w:rPr>
          <w:rFonts w:hint="eastAsia" w:ascii="宋体" w:hAnsi="宋体" w:eastAsia="宋体" w:cs="宋体"/>
          <w:color w:val="000000"/>
          <w:sz w:val="24"/>
          <w:szCs w:val="24"/>
          <w:highlight w:val="none"/>
          <w:lang w:eastAsia="zh-CN"/>
        </w:rPr>
        <w:t>；</w:t>
      </w:r>
    </w:p>
    <w:p w14:paraId="2C0A78CB">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3、国家相应的标准、规范。</w:t>
      </w:r>
    </w:p>
    <w:p w14:paraId="11059727">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八、违约责任</w:t>
      </w:r>
    </w:p>
    <w:p w14:paraId="5B499CD1">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(一)按《</w:t>
      </w:r>
      <w:r>
        <w:rPr>
          <w:rFonts w:hint="eastAsia" w:ascii="宋体" w:hAnsi="宋体" w:eastAsia="宋体" w:cs="宋体"/>
          <w:color w:val="000000"/>
          <w:sz w:val="24"/>
          <w:szCs w:val="24"/>
          <w:highlight w:val="none"/>
          <w:lang w:val="en-US" w:eastAsia="zh-CN"/>
        </w:rPr>
        <w:t>中华人民共和国民法典</w:t>
      </w:r>
      <w:r>
        <w:rPr>
          <w:rFonts w:hint="eastAsia" w:ascii="宋体" w:hAnsi="宋体" w:eastAsia="宋体" w:cs="宋体"/>
          <w:color w:val="000000"/>
          <w:sz w:val="24"/>
          <w:szCs w:val="24"/>
          <w:highlight w:val="none"/>
        </w:rPr>
        <w:t>》中的相关条款执行。</w:t>
      </w:r>
    </w:p>
    <w:p w14:paraId="42FB7E84">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(二)乙方未按合同要求提供服务或服务质量不能满足合同要求，甲方有权解除合同，除剩余合同款项不予支付外，甲方还有权要求乙方支付本合同总价款</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％“即为人民币大写：</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，小写：</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kern w:val="0"/>
          <w:sz w:val="24"/>
          <w:szCs w:val="24"/>
          <w:highlight w:val="none"/>
          <w:lang w:bidi="ar"/>
        </w:rPr>
        <w:t>元</w:t>
      </w:r>
      <w:r>
        <w:rPr>
          <w:rFonts w:hint="eastAsia" w:ascii="宋体" w:hAnsi="宋体" w:eastAsia="宋体" w:cs="宋体"/>
          <w:color w:val="000000"/>
          <w:sz w:val="24"/>
          <w:szCs w:val="24"/>
          <w:highlight w:val="none"/>
        </w:rPr>
        <w:t>”的违约金，如给甲方造成损失的，乙方还应赔偿甲方全部损失</w:t>
      </w:r>
      <w:r>
        <w:rPr>
          <w:rFonts w:hint="eastAsia" w:ascii="宋体" w:hAnsi="宋体" w:eastAsia="宋体" w:cs="宋体"/>
          <w:color w:val="000000"/>
          <w:sz w:val="24"/>
          <w:szCs w:val="24"/>
          <w:highlight w:val="none"/>
          <w:lang w:eastAsia="zh-CN"/>
        </w:rPr>
        <w:t>，包括但不限于律师费、诉讼费、保函费、鉴定费等费用</w:t>
      </w:r>
      <w:r>
        <w:rPr>
          <w:rFonts w:hint="eastAsia" w:ascii="宋体" w:hAnsi="宋体" w:eastAsia="宋体" w:cs="宋体"/>
          <w:color w:val="000000"/>
          <w:sz w:val="24"/>
          <w:szCs w:val="24"/>
          <w:highlight w:val="none"/>
        </w:rPr>
        <w:t>。同时，政府采购监管部门有权依据《政府采购法》及相关法律法规对乙方的违法行为进行相应的处罚。</w:t>
      </w:r>
    </w:p>
    <w:p w14:paraId="0F94C47E">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（三）乙方无正当理由提前终止合同，乙方应向甲方支付合同总价</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%“即为人民币大写：</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，小写：</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元</w:t>
      </w:r>
      <w:r>
        <w:rPr>
          <w:rFonts w:hint="eastAsia" w:ascii="宋体" w:hAnsi="宋体" w:eastAsia="宋体" w:cs="宋体"/>
          <w:color w:val="000000"/>
          <w:sz w:val="24"/>
          <w:szCs w:val="24"/>
          <w:highlight w:val="none"/>
        </w:rPr>
        <w:t>”的违约金，且乙方应当向甲方赔偿由此给甲方造成的全部直接及间接经济损失，包括但不限于律师费、诉讼费、保函费、鉴定费等费用。同时甲方有权拒绝退还全部履约保证金。</w:t>
      </w:r>
    </w:p>
    <w:p w14:paraId="3E2255CC">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九、保密条款</w:t>
      </w:r>
    </w:p>
    <w:p w14:paraId="2D25D5F5">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(一)乙方应遵守国家有关保密的法律法规和行业规定，并对甲方提供的资料</w:t>
      </w:r>
      <w:r>
        <w:rPr>
          <w:rFonts w:hint="eastAsia" w:ascii="宋体" w:hAnsi="宋体" w:eastAsia="宋体" w:cs="宋体"/>
          <w:color w:val="000000"/>
          <w:sz w:val="24"/>
          <w:szCs w:val="24"/>
          <w:highlight w:val="none"/>
          <w:lang w:val="en-US" w:eastAsia="zh-CN"/>
        </w:rPr>
        <w:t>以及履行本合同中获取的所有文件资料</w:t>
      </w:r>
      <w:r>
        <w:rPr>
          <w:rFonts w:hint="eastAsia" w:ascii="宋体" w:hAnsi="宋体" w:eastAsia="宋体" w:cs="宋体"/>
          <w:color w:val="000000"/>
          <w:sz w:val="24"/>
          <w:szCs w:val="24"/>
          <w:highlight w:val="none"/>
        </w:rPr>
        <w:t>负有保密义务。未经甲方书面同意，不得将承接政府服务项目获得的政府、公民个人等任何信息和资料提供给其他单位和个人</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或用作本合同外用途</w:t>
      </w:r>
      <w:r>
        <w:rPr>
          <w:rFonts w:hint="eastAsia" w:ascii="宋体" w:hAnsi="宋体" w:eastAsia="宋体" w:cs="宋体"/>
          <w:color w:val="000000"/>
          <w:sz w:val="24"/>
          <w:szCs w:val="24"/>
          <w:highlight w:val="none"/>
        </w:rPr>
        <w:t>。如发生以上情况，甲方有权索赔，乙方应赔偿因此给甲方造成的全部损失</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包括但不限于律师费、诉讼费、保函费、鉴定费等费用</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，但乙方依据相关法定职责对外公开的除外。</w:t>
      </w:r>
    </w:p>
    <w:p w14:paraId="256745C8">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 (二)本条款为独立条款，本合同的无效、变更、解除和终止均不影响本条款的效力。</w:t>
      </w:r>
    </w:p>
    <w:p w14:paraId="4B6D42B6">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十、争议解决</w:t>
      </w:r>
    </w:p>
    <w:p w14:paraId="52DB5487">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(一)本合同在履行过程中发生的争议，由甲、乙双方当事人协商解决，协商不成的按下列第</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2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种方式解决：</w:t>
      </w:r>
    </w:p>
    <w:p w14:paraId="043BF058">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1、提交西安仲裁委员会仲裁；</w:t>
      </w:r>
    </w:p>
    <w:p w14:paraId="4B2A60A4">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2、依法向合同履行地所在西安市长安区人民法院起诉。</w:t>
      </w:r>
    </w:p>
    <w:p w14:paraId="598C52B8">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（二）本条款为独立条款，本合同的无效、变更、解除和终止均不影响本条款的效力。</w:t>
      </w:r>
    </w:p>
    <w:p w14:paraId="1AE38103">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十一、合同变更</w:t>
      </w:r>
    </w:p>
    <w:p w14:paraId="609666E7">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在合同的执行期内，双方均不得随意变更或解除合同。如因项目需求情况发生变化，需要项目变更的，应双方协商后签订项目变更协议（如双方变更事项不能达成一致的，仍按原合同履行，否则视为违约）</w:t>
      </w:r>
      <w:r>
        <w:rPr>
          <w:rFonts w:hint="eastAsia" w:ascii="宋体" w:hAnsi="宋体" w:eastAsia="宋体" w:cs="宋体"/>
          <w:color w:val="000000"/>
          <w:sz w:val="24"/>
          <w:szCs w:val="24"/>
          <w:highlight w:val="none"/>
          <w:lang w:eastAsia="zh-CN"/>
        </w:rPr>
        <w:t>后生效</w:t>
      </w:r>
      <w:r>
        <w:rPr>
          <w:rFonts w:hint="eastAsia" w:ascii="宋体" w:hAnsi="宋体" w:eastAsia="宋体" w:cs="宋体"/>
          <w:color w:val="000000"/>
          <w:sz w:val="24"/>
          <w:szCs w:val="24"/>
          <w:highlight w:val="none"/>
        </w:rPr>
        <w:t>。</w:t>
      </w:r>
    </w:p>
    <w:p w14:paraId="1B83854C">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十二、合同生效</w:t>
      </w:r>
    </w:p>
    <w:p w14:paraId="0E1009D3">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本合同一式</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肆</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份，甲方持</w:t>
      </w:r>
      <w:r>
        <w:rPr>
          <w:rFonts w:hint="eastAsia" w:ascii="宋体" w:hAnsi="宋体" w:eastAsia="宋体" w:cs="宋体"/>
          <w:color w:val="000000"/>
          <w:sz w:val="24"/>
          <w:szCs w:val="24"/>
          <w:highlight w:val="none"/>
          <w:u w:val="single"/>
        </w:rPr>
        <w:t xml:space="preserve"> 叁 </w:t>
      </w:r>
      <w:r>
        <w:rPr>
          <w:rFonts w:hint="eastAsia" w:ascii="宋体" w:hAnsi="宋体" w:eastAsia="宋体" w:cs="宋体"/>
          <w:color w:val="000000"/>
          <w:sz w:val="24"/>
          <w:szCs w:val="24"/>
          <w:highlight w:val="none"/>
        </w:rPr>
        <w:t>份，乙方持</w:t>
      </w:r>
      <w:r>
        <w:rPr>
          <w:rFonts w:hint="eastAsia" w:ascii="宋体" w:hAnsi="宋体" w:eastAsia="宋体" w:cs="宋体"/>
          <w:color w:val="000000"/>
          <w:sz w:val="24"/>
          <w:szCs w:val="24"/>
          <w:highlight w:val="none"/>
          <w:u w:val="single"/>
        </w:rPr>
        <w:t xml:space="preserve"> 壹 </w:t>
      </w:r>
      <w:r>
        <w:rPr>
          <w:rFonts w:hint="eastAsia" w:ascii="宋体" w:hAnsi="宋体" w:eastAsia="宋体" w:cs="宋体"/>
          <w:color w:val="000000"/>
          <w:sz w:val="24"/>
          <w:szCs w:val="24"/>
          <w:highlight w:val="none"/>
        </w:rPr>
        <w:t>份，</w:t>
      </w:r>
      <w:r>
        <w:rPr>
          <w:rFonts w:hint="eastAsia" w:ascii="宋体" w:hAnsi="宋体" w:eastAsia="宋体" w:cs="宋体"/>
          <w:color w:val="000000"/>
          <w:sz w:val="24"/>
          <w:szCs w:val="24"/>
          <w:highlight w:val="none"/>
          <w:lang w:val="en-US" w:eastAsia="zh-CN"/>
        </w:rPr>
        <w:t>均具有同等法律效力。</w:t>
      </w:r>
      <w:r>
        <w:rPr>
          <w:rFonts w:hint="eastAsia" w:ascii="宋体" w:hAnsi="宋体" w:eastAsia="宋体" w:cs="宋体"/>
          <w:color w:val="000000"/>
          <w:sz w:val="24"/>
          <w:szCs w:val="24"/>
          <w:highlight w:val="none"/>
        </w:rPr>
        <w:t>本合同甲、乙方各方签字盖章后生效，合同执行完毕后，自动失效（合同的服务承诺则长期有效）。</w:t>
      </w:r>
    </w:p>
    <w:p w14:paraId="46377D1A">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十三、其他事项</w:t>
      </w:r>
    </w:p>
    <w:p w14:paraId="0B0599AF">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w:t>
      </w:r>
      <w:r>
        <w:rPr>
          <w:rFonts w:hint="eastAsia" w:ascii="宋体" w:hAnsi="宋体" w:eastAsia="宋体" w:cs="宋体"/>
          <w:color w:val="000000"/>
          <w:sz w:val="24"/>
          <w:szCs w:val="24"/>
          <w:highlight w:val="none"/>
        </w:rPr>
        <w:t>西安市财政局政府采购管理处在合同的履行期间以及履行期后，可以随时检查项目的执行情况，对采购标准、采购内容进行调查核实，并对发现的问题进行处理。</w:t>
      </w:r>
    </w:p>
    <w:p w14:paraId="3ABF6D5B">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（二）</w:t>
      </w:r>
      <w:r>
        <w:rPr>
          <w:rFonts w:hint="eastAsia" w:ascii="宋体" w:hAnsi="宋体" w:eastAsia="宋体" w:cs="宋体"/>
          <w:color w:val="000000"/>
          <w:sz w:val="24"/>
          <w:szCs w:val="24"/>
          <w:highlight w:val="none"/>
          <w:lang w:val="en-US" w:eastAsia="zh-CN"/>
        </w:rPr>
        <w:t>竞争性磋商</w:t>
      </w:r>
      <w:r>
        <w:rPr>
          <w:rFonts w:hint="eastAsia" w:ascii="宋体" w:hAnsi="宋体" w:eastAsia="宋体" w:cs="宋体"/>
          <w:color w:val="000000"/>
          <w:sz w:val="24"/>
          <w:szCs w:val="24"/>
          <w:highlight w:val="none"/>
        </w:rPr>
        <w:t>文件、</w:t>
      </w:r>
      <w:r>
        <w:rPr>
          <w:rFonts w:hint="eastAsia" w:ascii="宋体" w:hAnsi="宋体" w:eastAsia="宋体" w:cs="宋体"/>
          <w:color w:val="000000"/>
          <w:sz w:val="24"/>
          <w:szCs w:val="24"/>
          <w:highlight w:val="none"/>
          <w:lang w:val="en-US" w:eastAsia="zh-CN"/>
        </w:rPr>
        <w:t>竞争性磋商响应</w:t>
      </w:r>
      <w:r>
        <w:rPr>
          <w:rFonts w:hint="eastAsia" w:ascii="宋体" w:hAnsi="宋体" w:eastAsia="宋体" w:cs="宋体"/>
          <w:color w:val="000000"/>
          <w:sz w:val="24"/>
          <w:szCs w:val="24"/>
          <w:highlight w:val="none"/>
        </w:rPr>
        <w:t>文件、澄清表（函）、</w:t>
      </w:r>
      <w:r>
        <w:rPr>
          <w:rFonts w:hint="eastAsia" w:ascii="宋体" w:hAnsi="宋体" w:eastAsia="宋体" w:cs="宋体"/>
          <w:color w:val="000000"/>
          <w:sz w:val="24"/>
          <w:szCs w:val="24"/>
          <w:highlight w:val="none"/>
          <w:lang w:val="en-US" w:eastAsia="zh-CN"/>
        </w:rPr>
        <w:t>成交</w:t>
      </w:r>
      <w:r>
        <w:rPr>
          <w:rFonts w:hint="eastAsia" w:ascii="宋体" w:hAnsi="宋体" w:eastAsia="宋体" w:cs="宋体"/>
          <w:color w:val="000000"/>
          <w:sz w:val="24"/>
          <w:szCs w:val="24"/>
          <w:highlight w:val="none"/>
        </w:rPr>
        <w:t>通知书、合同附件均成为合同不可分割的部分。</w:t>
      </w:r>
    </w:p>
    <w:p w14:paraId="66D38317">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highlight w:val="none"/>
          <w:lang w:val="en-US" w:eastAsia="zh-CN"/>
        </w:rPr>
      </w:pPr>
      <w:r>
        <w:rPr>
          <w:rFonts w:hint="eastAsia" w:ascii="宋体" w:hAnsi="宋体" w:eastAsia="宋体" w:cs="宋体"/>
          <w:color w:val="000000"/>
          <w:sz w:val="24"/>
          <w:szCs w:val="24"/>
          <w:highlight w:val="none"/>
        </w:rPr>
        <w:t>（三）</w:t>
      </w:r>
      <w:r>
        <w:rPr>
          <w:rFonts w:hint="eastAsia" w:ascii="宋体" w:hAnsi="宋体" w:eastAsia="宋体" w:cs="宋体"/>
          <w:color w:val="000000"/>
          <w:sz w:val="24"/>
          <w:szCs w:val="24"/>
          <w:highlight w:val="none"/>
          <w:lang w:val="en-US" w:eastAsia="zh-CN"/>
        </w:rPr>
        <w:t>合同未尽事宜，由甲、乙双方协商后签订政府采购补充合同，与原合同具有同等法律效力。</w:t>
      </w:r>
    </w:p>
    <w:p w14:paraId="1B0504FE">
      <w:pPr>
        <w:pStyle w:val="2"/>
        <w:rPr>
          <w:rFonts w:hint="eastAsia" w:ascii="宋体" w:hAnsi="宋体" w:eastAsia="宋体" w:cs="宋体"/>
          <w:highlight w:val="none"/>
          <w:lang w:val="en-US" w:eastAsia="zh-CN"/>
        </w:rPr>
      </w:pPr>
      <w:r>
        <w:rPr>
          <w:rFonts w:hint="eastAsia" w:ascii="宋体" w:hAnsi="宋体" w:eastAsia="宋体" w:cs="宋体"/>
          <w:highlight w:val="none"/>
          <w:lang w:val="en-US" w:eastAsia="zh-CN"/>
        </w:rPr>
        <w:t>（以下无正文，为本合同签署页）</w:t>
      </w:r>
    </w:p>
    <w:tbl>
      <w:tblPr>
        <w:tblStyle w:val="3"/>
        <w:tblW w:w="8989" w:type="dxa"/>
        <w:tblInd w:w="2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57"/>
        <w:gridCol w:w="4232"/>
      </w:tblGrid>
      <w:tr w14:paraId="5D162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7" w:type="dxa"/>
            <w:tcBorders>
              <w:top w:val="single" w:color="auto" w:sz="4" w:space="0"/>
              <w:left w:val="single" w:color="auto" w:sz="4" w:space="0"/>
              <w:bottom w:val="single" w:color="auto" w:sz="4" w:space="0"/>
              <w:right w:val="single" w:color="auto" w:sz="4" w:space="0"/>
            </w:tcBorders>
            <w:noWrap w:val="0"/>
            <w:vAlign w:val="top"/>
          </w:tcPr>
          <w:p w14:paraId="45A682CF">
            <w:pPr>
              <w:autoSpaceDE w:val="0"/>
              <w:autoSpaceDN w:val="0"/>
              <w:adjustRightInd w:val="0"/>
              <w:spacing w:line="360" w:lineRule="auto"/>
              <w:jc w:val="center"/>
              <w:rPr>
                <w:rFonts w:hint="eastAsia" w:ascii="宋体" w:hAnsi="宋体" w:eastAsia="宋体" w:cs="宋体"/>
                <w:color w:val="000000"/>
                <w:spacing w:val="-20"/>
                <w:kern w:val="0"/>
                <w:sz w:val="24"/>
                <w:szCs w:val="24"/>
                <w:highlight w:val="none"/>
              </w:rPr>
            </w:pPr>
            <w:r>
              <w:rPr>
                <w:rFonts w:hint="eastAsia" w:ascii="宋体" w:hAnsi="宋体" w:eastAsia="宋体" w:cs="宋体"/>
                <w:color w:val="000000"/>
                <w:spacing w:val="-20"/>
                <w:kern w:val="0"/>
                <w:sz w:val="24"/>
                <w:szCs w:val="24"/>
                <w:highlight w:val="none"/>
              </w:rPr>
              <w:t>甲  方</w:t>
            </w:r>
          </w:p>
        </w:tc>
        <w:tc>
          <w:tcPr>
            <w:tcW w:w="4232" w:type="dxa"/>
            <w:tcBorders>
              <w:top w:val="single" w:color="auto" w:sz="4" w:space="0"/>
              <w:left w:val="single" w:color="auto" w:sz="4" w:space="0"/>
              <w:bottom w:val="single" w:color="auto" w:sz="4" w:space="0"/>
              <w:right w:val="single" w:color="auto" w:sz="4" w:space="0"/>
            </w:tcBorders>
            <w:noWrap w:val="0"/>
            <w:vAlign w:val="top"/>
          </w:tcPr>
          <w:p w14:paraId="0E3D9555">
            <w:pPr>
              <w:autoSpaceDE w:val="0"/>
              <w:autoSpaceDN w:val="0"/>
              <w:adjustRightInd w:val="0"/>
              <w:spacing w:line="360" w:lineRule="auto"/>
              <w:jc w:val="center"/>
              <w:rPr>
                <w:rFonts w:hint="eastAsia" w:ascii="宋体" w:hAnsi="宋体" w:eastAsia="宋体" w:cs="宋体"/>
                <w:color w:val="000000"/>
                <w:spacing w:val="-20"/>
                <w:kern w:val="0"/>
                <w:sz w:val="24"/>
                <w:szCs w:val="24"/>
                <w:highlight w:val="none"/>
              </w:rPr>
            </w:pPr>
            <w:r>
              <w:rPr>
                <w:rFonts w:hint="eastAsia" w:ascii="宋体" w:hAnsi="宋体" w:eastAsia="宋体" w:cs="宋体"/>
                <w:color w:val="000000"/>
                <w:spacing w:val="-20"/>
                <w:kern w:val="0"/>
                <w:sz w:val="24"/>
                <w:szCs w:val="24"/>
                <w:highlight w:val="none"/>
              </w:rPr>
              <w:t>乙  方</w:t>
            </w:r>
          </w:p>
        </w:tc>
      </w:tr>
      <w:tr w14:paraId="4159B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 w:hRule="atLeast"/>
        </w:trPr>
        <w:tc>
          <w:tcPr>
            <w:tcW w:w="4757" w:type="dxa"/>
            <w:tcBorders>
              <w:top w:val="single" w:color="auto" w:sz="4" w:space="0"/>
              <w:left w:val="single" w:color="auto" w:sz="4" w:space="0"/>
              <w:bottom w:val="single" w:color="auto" w:sz="4" w:space="0"/>
              <w:right w:val="single" w:color="auto" w:sz="4" w:space="0"/>
            </w:tcBorders>
            <w:noWrap w:val="0"/>
            <w:vAlign w:val="center"/>
          </w:tcPr>
          <w:p w14:paraId="591D28FE">
            <w:pPr>
              <w:autoSpaceDE w:val="0"/>
              <w:autoSpaceDN w:val="0"/>
              <w:adjustRightInd w:val="0"/>
              <w:spacing w:line="360" w:lineRule="auto"/>
              <w:rPr>
                <w:rFonts w:hint="eastAsia" w:ascii="宋体" w:hAnsi="宋体" w:eastAsia="宋体" w:cs="宋体"/>
                <w:color w:val="000000"/>
                <w:spacing w:val="-20"/>
                <w:kern w:val="0"/>
                <w:sz w:val="24"/>
                <w:szCs w:val="24"/>
                <w:highlight w:val="none"/>
              </w:rPr>
            </w:pPr>
            <w:r>
              <w:rPr>
                <w:rFonts w:hint="eastAsia" w:ascii="宋体" w:hAnsi="宋体" w:eastAsia="宋体" w:cs="宋体"/>
                <w:color w:val="000000"/>
                <w:spacing w:val="-20"/>
                <w:kern w:val="0"/>
                <w:sz w:val="24"/>
                <w:szCs w:val="24"/>
                <w:highlight w:val="none"/>
              </w:rPr>
              <w:t>西安市保障性住房管理中心</w:t>
            </w:r>
          </w:p>
          <w:p w14:paraId="086A624E">
            <w:pPr>
              <w:autoSpaceDE w:val="0"/>
              <w:autoSpaceDN w:val="0"/>
              <w:adjustRightInd w:val="0"/>
              <w:spacing w:line="360" w:lineRule="auto"/>
              <w:rPr>
                <w:rFonts w:hint="eastAsia" w:ascii="宋体" w:hAnsi="宋体" w:eastAsia="宋体" w:cs="宋体"/>
                <w:color w:val="000000"/>
                <w:spacing w:val="-20"/>
                <w:kern w:val="0"/>
                <w:sz w:val="24"/>
                <w:szCs w:val="24"/>
                <w:highlight w:val="none"/>
              </w:rPr>
            </w:pPr>
            <w:r>
              <w:rPr>
                <w:rFonts w:hint="eastAsia" w:ascii="宋体" w:hAnsi="宋体" w:eastAsia="宋体" w:cs="宋体"/>
                <w:color w:val="000000"/>
                <w:spacing w:val="-20"/>
                <w:kern w:val="0"/>
                <w:sz w:val="24"/>
                <w:szCs w:val="24"/>
                <w:highlight w:val="none"/>
              </w:rPr>
              <w:t>（盖章）</w:t>
            </w:r>
          </w:p>
        </w:tc>
        <w:tc>
          <w:tcPr>
            <w:tcW w:w="4232" w:type="dxa"/>
            <w:tcBorders>
              <w:top w:val="single" w:color="auto" w:sz="4" w:space="0"/>
              <w:left w:val="single" w:color="auto" w:sz="4" w:space="0"/>
              <w:bottom w:val="single" w:color="auto" w:sz="4" w:space="0"/>
              <w:right w:val="single" w:color="auto" w:sz="4" w:space="0"/>
            </w:tcBorders>
            <w:noWrap w:val="0"/>
            <w:vAlign w:val="center"/>
          </w:tcPr>
          <w:p w14:paraId="29690C12">
            <w:pPr>
              <w:autoSpaceDE w:val="0"/>
              <w:autoSpaceDN w:val="0"/>
              <w:adjustRightInd w:val="0"/>
              <w:spacing w:line="360" w:lineRule="auto"/>
              <w:rPr>
                <w:rFonts w:hint="eastAsia" w:ascii="宋体" w:hAnsi="宋体" w:eastAsia="宋体" w:cs="宋体"/>
                <w:color w:val="000000"/>
                <w:spacing w:val="-20"/>
                <w:kern w:val="0"/>
                <w:sz w:val="24"/>
                <w:szCs w:val="24"/>
                <w:highlight w:val="none"/>
              </w:rPr>
            </w:pPr>
          </w:p>
          <w:p w14:paraId="77665DB5">
            <w:pPr>
              <w:autoSpaceDE w:val="0"/>
              <w:autoSpaceDN w:val="0"/>
              <w:adjustRightInd w:val="0"/>
              <w:spacing w:line="360" w:lineRule="auto"/>
              <w:ind w:firstLine="800" w:firstLineChars="400"/>
              <w:rPr>
                <w:rFonts w:hint="eastAsia" w:ascii="宋体" w:hAnsi="宋体" w:eastAsia="宋体" w:cs="宋体"/>
                <w:color w:val="000000"/>
                <w:spacing w:val="-20"/>
                <w:kern w:val="0"/>
                <w:sz w:val="24"/>
                <w:szCs w:val="24"/>
                <w:highlight w:val="none"/>
              </w:rPr>
            </w:pPr>
            <w:r>
              <w:rPr>
                <w:rFonts w:hint="eastAsia" w:ascii="宋体" w:hAnsi="宋体" w:eastAsia="宋体" w:cs="宋体"/>
                <w:color w:val="000000"/>
                <w:spacing w:val="-20"/>
                <w:kern w:val="0"/>
                <w:sz w:val="24"/>
                <w:szCs w:val="24"/>
                <w:highlight w:val="none"/>
              </w:rPr>
              <w:t>（盖章）</w:t>
            </w:r>
          </w:p>
        </w:tc>
      </w:tr>
      <w:tr w14:paraId="4F535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7" w:type="dxa"/>
            <w:tcBorders>
              <w:top w:val="single" w:color="auto" w:sz="4" w:space="0"/>
              <w:left w:val="single" w:color="auto" w:sz="4" w:space="0"/>
              <w:bottom w:val="single" w:color="auto" w:sz="4" w:space="0"/>
              <w:right w:val="single" w:color="auto" w:sz="4" w:space="0"/>
            </w:tcBorders>
            <w:noWrap w:val="0"/>
            <w:vAlign w:val="top"/>
          </w:tcPr>
          <w:p w14:paraId="2D73FF9B">
            <w:pPr>
              <w:autoSpaceDE w:val="0"/>
              <w:autoSpaceDN w:val="0"/>
              <w:adjustRightInd w:val="0"/>
              <w:spacing w:line="360" w:lineRule="auto"/>
              <w:jc w:val="left"/>
              <w:rPr>
                <w:rFonts w:hint="eastAsia" w:ascii="宋体" w:hAnsi="宋体" w:eastAsia="宋体" w:cs="宋体"/>
                <w:color w:val="000000"/>
                <w:spacing w:val="-20"/>
                <w:kern w:val="0"/>
                <w:sz w:val="24"/>
                <w:szCs w:val="24"/>
                <w:highlight w:val="none"/>
              </w:rPr>
            </w:pPr>
            <w:r>
              <w:rPr>
                <w:rFonts w:hint="eastAsia" w:ascii="宋体" w:hAnsi="宋体" w:eastAsia="宋体" w:cs="宋体"/>
                <w:color w:val="000000"/>
                <w:spacing w:val="-20"/>
                <w:kern w:val="0"/>
                <w:sz w:val="24"/>
                <w:szCs w:val="24"/>
                <w:highlight w:val="none"/>
              </w:rPr>
              <w:t>地址： 西安市西关街道西大街116号</w:t>
            </w:r>
          </w:p>
        </w:tc>
        <w:tc>
          <w:tcPr>
            <w:tcW w:w="4232" w:type="dxa"/>
            <w:tcBorders>
              <w:top w:val="single" w:color="auto" w:sz="4" w:space="0"/>
              <w:left w:val="single" w:color="auto" w:sz="4" w:space="0"/>
              <w:bottom w:val="single" w:color="auto" w:sz="4" w:space="0"/>
              <w:right w:val="single" w:color="auto" w:sz="4" w:space="0"/>
            </w:tcBorders>
            <w:noWrap w:val="0"/>
            <w:vAlign w:val="top"/>
          </w:tcPr>
          <w:p w14:paraId="6481FC9E">
            <w:pPr>
              <w:autoSpaceDE w:val="0"/>
              <w:autoSpaceDN w:val="0"/>
              <w:adjustRightInd w:val="0"/>
              <w:spacing w:line="360" w:lineRule="auto"/>
              <w:jc w:val="left"/>
              <w:rPr>
                <w:rFonts w:hint="eastAsia" w:ascii="宋体" w:hAnsi="宋体" w:eastAsia="宋体" w:cs="宋体"/>
                <w:color w:val="000000"/>
                <w:spacing w:val="-20"/>
                <w:kern w:val="0"/>
                <w:sz w:val="24"/>
                <w:szCs w:val="24"/>
                <w:highlight w:val="none"/>
              </w:rPr>
            </w:pPr>
            <w:r>
              <w:rPr>
                <w:rFonts w:hint="eastAsia" w:ascii="宋体" w:hAnsi="宋体" w:eastAsia="宋体" w:cs="宋体"/>
                <w:color w:val="000000"/>
                <w:spacing w:val="-20"/>
                <w:kern w:val="0"/>
                <w:sz w:val="24"/>
                <w:szCs w:val="24"/>
                <w:highlight w:val="none"/>
              </w:rPr>
              <w:t>地址：</w:t>
            </w:r>
          </w:p>
        </w:tc>
      </w:tr>
      <w:tr w14:paraId="5F7B6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7" w:type="dxa"/>
            <w:tcBorders>
              <w:top w:val="single" w:color="auto" w:sz="4" w:space="0"/>
              <w:left w:val="single" w:color="auto" w:sz="4" w:space="0"/>
              <w:bottom w:val="single" w:color="auto" w:sz="4" w:space="0"/>
              <w:right w:val="single" w:color="auto" w:sz="4" w:space="0"/>
            </w:tcBorders>
            <w:noWrap w:val="0"/>
            <w:vAlign w:val="top"/>
          </w:tcPr>
          <w:p w14:paraId="728589B7">
            <w:pPr>
              <w:autoSpaceDE w:val="0"/>
              <w:autoSpaceDN w:val="0"/>
              <w:adjustRightInd w:val="0"/>
              <w:spacing w:line="360" w:lineRule="auto"/>
              <w:jc w:val="left"/>
              <w:rPr>
                <w:rFonts w:hint="eastAsia" w:ascii="宋体" w:hAnsi="宋体" w:eastAsia="宋体" w:cs="宋体"/>
                <w:color w:val="000000"/>
                <w:spacing w:val="-20"/>
                <w:kern w:val="0"/>
                <w:sz w:val="24"/>
                <w:szCs w:val="24"/>
                <w:highlight w:val="none"/>
              </w:rPr>
            </w:pPr>
            <w:r>
              <w:rPr>
                <w:rFonts w:hint="eastAsia" w:ascii="宋体" w:hAnsi="宋体" w:eastAsia="宋体" w:cs="宋体"/>
                <w:color w:val="000000"/>
                <w:spacing w:val="-20"/>
                <w:kern w:val="0"/>
                <w:sz w:val="24"/>
                <w:szCs w:val="24"/>
                <w:highlight w:val="none"/>
              </w:rPr>
              <w:t xml:space="preserve">法定代表人： </w:t>
            </w:r>
          </w:p>
        </w:tc>
        <w:tc>
          <w:tcPr>
            <w:tcW w:w="4232" w:type="dxa"/>
            <w:tcBorders>
              <w:top w:val="single" w:color="auto" w:sz="4" w:space="0"/>
              <w:left w:val="single" w:color="auto" w:sz="4" w:space="0"/>
              <w:bottom w:val="single" w:color="auto" w:sz="4" w:space="0"/>
              <w:right w:val="single" w:color="auto" w:sz="4" w:space="0"/>
            </w:tcBorders>
            <w:noWrap w:val="0"/>
            <w:vAlign w:val="top"/>
          </w:tcPr>
          <w:p w14:paraId="7EE4B3E1">
            <w:pPr>
              <w:autoSpaceDE w:val="0"/>
              <w:autoSpaceDN w:val="0"/>
              <w:adjustRightInd w:val="0"/>
              <w:spacing w:line="360" w:lineRule="auto"/>
              <w:jc w:val="left"/>
              <w:rPr>
                <w:rFonts w:hint="eastAsia" w:ascii="宋体" w:hAnsi="宋体" w:eastAsia="宋体" w:cs="宋体"/>
                <w:color w:val="000000"/>
                <w:spacing w:val="-20"/>
                <w:kern w:val="0"/>
                <w:sz w:val="24"/>
                <w:szCs w:val="24"/>
                <w:highlight w:val="none"/>
              </w:rPr>
            </w:pPr>
            <w:r>
              <w:rPr>
                <w:rFonts w:hint="eastAsia" w:ascii="宋体" w:hAnsi="宋体" w:eastAsia="宋体" w:cs="宋体"/>
                <w:color w:val="000000"/>
                <w:spacing w:val="-20"/>
                <w:kern w:val="0"/>
                <w:sz w:val="24"/>
                <w:szCs w:val="24"/>
                <w:highlight w:val="none"/>
              </w:rPr>
              <w:t>法定代表人：</w:t>
            </w:r>
          </w:p>
        </w:tc>
      </w:tr>
      <w:tr w14:paraId="3CA56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4757" w:type="dxa"/>
            <w:tcBorders>
              <w:top w:val="single" w:color="auto" w:sz="4" w:space="0"/>
              <w:left w:val="single" w:color="auto" w:sz="4" w:space="0"/>
              <w:bottom w:val="single" w:color="auto" w:sz="4" w:space="0"/>
              <w:right w:val="single" w:color="auto" w:sz="4" w:space="0"/>
            </w:tcBorders>
            <w:noWrap w:val="0"/>
            <w:vAlign w:val="top"/>
          </w:tcPr>
          <w:p w14:paraId="7678147C">
            <w:pPr>
              <w:autoSpaceDE w:val="0"/>
              <w:autoSpaceDN w:val="0"/>
              <w:adjustRightInd w:val="0"/>
              <w:spacing w:line="360" w:lineRule="auto"/>
              <w:jc w:val="left"/>
              <w:rPr>
                <w:rFonts w:hint="eastAsia" w:ascii="宋体" w:hAnsi="宋体" w:eastAsia="宋体" w:cs="宋体"/>
                <w:color w:val="000000"/>
                <w:spacing w:val="-20"/>
                <w:kern w:val="0"/>
                <w:sz w:val="24"/>
                <w:szCs w:val="24"/>
                <w:highlight w:val="none"/>
              </w:rPr>
            </w:pPr>
            <w:r>
              <w:rPr>
                <w:rFonts w:hint="eastAsia" w:ascii="宋体" w:hAnsi="宋体" w:eastAsia="宋体" w:cs="宋体"/>
                <w:color w:val="000000"/>
                <w:spacing w:val="-20"/>
                <w:kern w:val="0"/>
                <w:sz w:val="24"/>
                <w:szCs w:val="24"/>
                <w:highlight w:val="none"/>
              </w:rPr>
              <w:t>被授权代表：（签字）</w:t>
            </w:r>
          </w:p>
        </w:tc>
        <w:tc>
          <w:tcPr>
            <w:tcW w:w="4232" w:type="dxa"/>
            <w:tcBorders>
              <w:top w:val="single" w:color="auto" w:sz="4" w:space="0"/>
              <w:left w:val="single" w:color="auto" w:sz="4" w:space="0"/>
              <w:bottom w:val="single" w:color="auto" w:sz="4" w:space="0"/>
              <w:right w:val="single" w:color="auto" w:sz="4" w:space="0"/>
            </w:tcBorders>
            <w:noWrap w:val="0"/>
            <w:vAlign w:val="top"/>
          </w:tcPr>
          <w:p w14:paraId="501CBA75">
            <w:pPr>
              <w:autoSpaceDE w:val="0"/>
              <w:autoSpaceDN w:val="0"/>
              <w:adjustRightInd w:val="0"/>
              <w:spacing w:line="360" w:lineRule="auto"/>
              <w:jc w:val="left"/>
              <w:rPr>
                <w:rFonts w:hint="eastAsia" w:ascii="宋体" w:hAnsi="宋体" w:eastAsia="宋体" w:cs="宋体"/>
                <w:color w:val="000000"/>
                <w:spacing w:val="-20"/>
                <w:kern w:val="0"/>
                <w:sz w:val="24"/>
                <w:szCs w:val="24"/>
                <w:highlight w:val="none"/>
              </w:rPr>
            </w:pPr>
            <w:r>
              <w:rPr>
                <w:rFonts w:hint="eastAsia" w:ascii="宋体" w:hAnsi="宋体" w:eastAsia="宋体" w:cs="宋体"/>
                <w:color w:val="000000"/>
                <w:spacing w:val="-20"/>
                <w:kern w:val="0"/>
                <w:sz w:val="24"/>
                <w:szCs w:val="24"/>
                <w:highlight w:val="none"/>
              </w:rPr>
              <w:t>被授权代表：（签字）</w:t>
            </w:r>
          </w:p>
        </w:tc>
      </w:tr>
      <w:tr w14:paraId="6649D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7" w:type="dxa"/>
            <w:tcBorders>
              <w:top w:val="single" w:color="auto" w:sz="4" w:space="0"/>
              <w:left w:val="single" w:color="auto" w:sz="4" w:space="0"/>
              <w:bottom w:val="single" w:color="auto" w:sz="4" w:space="0"/>
              <w:right w:val="single" w:color="auto" w:sz="4" w:space="0"/>
            </w:tcBorders>
            <w:noWrap w:val="0"/>
            <w:vAlign w:val="top"/>
          </w:tcPr>
          <w:p w14:paraId="0D4BF987">
            <w:pPr>
              <w:autoSpaceDE w:val="0"/>
              <w:autoSpaceDN w:val="0"/>
              <w:adjustRightInd w:val="0"/>
              <w:spacing w:line="360" w:lineRule="auto"/>
              <w:jc w:val="left"/>
              <w:rPr>
                <w:rFonts w:hint="eastAsia" w:ascii="宋体" w:hAnsi="宋体" w:eastAsia="宋体" w:cs="宋体"/>
                <w:color w:val="000000"/>
                <w:spacing w:val="-20"/>
                <w:kern w:val="0"/>
                <w:sz w:val="24"/>
                <w:szCs w:val="24"/>
                <w:highlight w:val="none"/>
              </w:rPr>
            </w:pPr>
            <w:r>
              <w:rPr>
                <w:rFonts w:hint="eastAsia" w:ascii="宋体" w:hAnsi="宋体" w:eastAsia="宋体" w:cs="宋体"/>
                <w:color w:val="000000"/>
                <w:spacing w:val="-20"/>
                <w:kern w:val="0"/>
                <w:sz w:val="24"/>
                <w:szCs w:val="24"/>
                <w:highlight w:val="none"/>
              </w:rPr>
              <w:t>电话：</w:t>
            </w:r>
          </w:p>
        </w:tc>
        <w:tc>
          <w:tcPr>
            <w:tcW w:w="4232" w:type="dxa"/>
            <w:tcBorders>
              <w:top w:val="single" w:color="auto" w:sz="4" w:space="0"/>
              <w:left w:val="single" w:color="auto" w:sz="4" w:space="0"/>
              <w:bottom w:val="single" w:color="auto" w:sz="4" w:space="0"/>
              <w:right w:val="single" w:color="auto" w:sz="4" w:space="0"/>
            </w:tcBorders>
            <w:noWrap w:val="0"/>
            <w:vAlign w:val="top"/>
          </w:tcPr>
          <w:p w14:paraId="023EDB71">
            <w:pPr>
              <w:autoSpaceDE w:val="0"/>
              <w:autoSpaceDN w:val="0"/>
              <w:adjustRightInd w:val="0"/>
              <w:spacing w:line="360" w:lineRule="auto"/>
              <w:jc w:val="left"/>
              <w:rPr>
                <w:rFonts w:hint="eastAsia" w:ascii="宋体" w:hAnsi="宋体" w:eastAsia="宋体" w:cs="宋体"/>
                <w:color w:val="000000"/>
                <w:spacing w:val="-20"/>
                <w:kern w:val="0"/>
                <w:sz w:val="24"/>
                <w:szCs w:val="24"/>
                <w:highlight w:val="none"/>
              </w:rPr>
            </w:pPr>
            <w:r>
              <w:rPr>
                <w:rFonts w:hint="eastAsia" w:ascii="宋体" w:hAnsi="宋体" w:eastAsia="宋体" w:cs="宋体"/>
                <w:color w:val="000000"/>
                <w:spacing w:val="-20"/>
                <w:kern w:val="0"/>
                <w:sz w:val="24"/>
                <w:szCs w:val="24"/>
                <w:highlight w:val="none"/>
              </w:rPr>
              <w:t>电话：</w:t>
            </w:r>
          </w:p>
        </w:tc>
      </w:tr>
      <w:tr w14:paraId="4B1A3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7" w:type="dxa"/>
            <w:tcBorders>
              <w:top w:val="single" w:color="auto" w:sz="4" w:space="0"/>
              <w:left w:val="single" w:color="auto" w:sz="4" w:space="0"/>
              <w:bottom w:val="single" w:color="auto" w:sz="4" w:space="0"/>
              <w:right w:val="single" w:color="auto" w:sz="4" w:space="0"/>
            </w:tcBorders>
            <w:noWrap w:val="0"/>
            <w:vAlign w:val="top"/>
          </w:tcPr>
          <w:p w14:paraId="183681E9">
            <w:pPr>
              <w:autoSpaceDE w:val="0"/>
              <w:autoSpaceDN w:val="0"/>
              <w:adjustRightInd w:val="0"/>
              <w:spacing w:line="360" w:lineRule="auto"/>
              <w:jc w:val="left"/>
              <w:rPr>
                <w:rFonts w:hint="eastAsia" w:ascii="宋体" w:hAnsi="宋体" w:eastAsia="宋体" w:cs="宋体"/>
                <w:color w:val="000000"/>
                <w:spacing w:val="-20"/>
                <w:kern w:val="0"/>
                <w:sz w:val="24"/>
                <w:szCs w:val="24"/>
                <w:highlight w:val="none"/>
              </w:rPr>
            </w:pPr>
            <w:r>
              <w:rPr>
                <w:rFonts w:hint="eastAsia" w:ascii="宋体" w:hAnsi="宋体" w:eastAsia="宋体" w:cs="宋体"/>
                <w:color w:val="000000"/>
                <w:spacing w:val="-20"/>
                <w:kern w:val="0"/>
                <w:sz w:val="24"/>
                <w:szCs w:val="24"/>
                <w:highlight w:val="none"/>
              </w:rPr>
              <w:t>传真：</w:t>
            </w:r>
          </w:p>
        </w:tc>
        <w:tc>
          <w:tcPr>
            <w:tcW w:w="4232" w:type="dxa"/>
            <w:tcBorders>
              <w:top w:val="single" w:color="auto" w:sz="4" w:space="0"/>
              <w:left w:val="single" w:color="auto" w:sz="4" w:space="0"/>
              <w:bottom w:val="single" w:color="auto" w:sz="4" w:space="0"/>
              <w:right w:val="single" w:color="auto" w:sz="4" w:space="0"/>
            </w:tcBorders>
            <w:noWrap w:val="0"/>
            <w:vAlign w:val="top"/>
          </w:tcPr>
          <w:p w14:paraId="0ED60BDB">
            <w:pPr>
              <w:autoSpaceDE w:val="0"/>
              <w:autoSpaceDN w:val="0"/>
              <w:adjustRightInd w:val="0"/>
              <w:spacing w:line="360" w:lineRule="auto"/>
              <w:jc w:val="left"/>
              <w:rPr>
                <w:rFonts w:hint="eastAsia" w:ascii="宋体" w:hAnsi="宋体" w:eastAsia="宋体" w:cs="宋体"/>
                <w:color w:val="000000"/>
                <w:spacing w:val="-20"/>
                <w:kern w:val="0"/>
                <w:sz w:val="24"/>
                <w:szCs w:val="24"/>
                <w:highlight w:val="none"/>
              </w:rPr>
            </w:pPr>
            <w:r>
              <w:rPr>
                <w:rFonts w:hint="eastAsia" w:ascii="宋体" w:hAnsi="宋体" w:eastAsia="宋体" w:cs="宋体"/>
                <w:color w:val="000000"/>
                <w:spacing w:val="-20"/>
                <w:kern w:val="0"/>
                <w:sz w:val="24"/>
                <w:szCs w:val="24"/>
                <w:highlight w:val="none"/>
              </w:rPr>
              <w:t>传真：</w:t>
            </w:r>
          </w:p>
        </w:tc>
      </w:tr>
      <w:tr w14:paraId="1EC24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7" w:type="dxa"/>
            <w:tcBorders>
              <w:top w:val="single" w:color="auto" w:sz="4" w:space="0"/>
              <w:left w:val="single" w:color="auto" w:sz="4" w:space="0"/>
              <w:bottom w:val="single" w:color="auto" w:sz="4" w:space="0"/>
              <w:right w:val="single" w:color="auto" w:sz="4" w:space="0"/>
            </w:tcBorders>
            <w:noWrap w:val="0"/>
            <w:vAlign w:val="top"/>
          </w:tcPr>
          <w:p w14:paraId="31C3530A">
            <w:pPr>
              <w:autoSpaceDE w:val="0"/>
              <w:autoSpaceDN w:val="0"/>
              <w:adjustRightInd w:val="0"/>
              <w:spacing w:line="360" w:lineRule="auto"/>
              <w:jc w:val="left"/>
              <w:rPr>
                <w:rFonts w:hint="eastAsia" w:ascii="宋体" w:hAnsi="宋体" w:eastAsia="宋体" w:cs="宋体"/>
                <w:color w:val="000000"/>
                <w:spacing w:val="-20"/>
                <w:kern w:val="0"/>
                <w:sz w:val="24"/>
                <w:szCs w:val="24"/>
                <w:highlight w:val="none"/>
              </w:rPr>
            </w:pPr>
          </w:p>
        </w:tc>
        <w:tc>
          <w:tcPr>
            <w:tcW w:w="4232" w:type="dxa"/>
            <w:tcBorders>
              <w:top w:val="single" w:color="auto" w:sz="4" w:space="0"/>
              <w:left w:val="single" w:color="auto" w:sz="4" w:space="0"/>
              <w:bottom w:val="single" w:color="auto" w:sz="4" w:space="0"/>
              <w:right w:val="single" w:color="auto" w:sz="4" w:space="0"/>
            </w:tcBorders>
            <w:noWrap w:val="0"/>
            <w:vAlign w:val="top"/>
          </w:tcPr>
          <w:p w14:paraId="1B23817D">
            <w:pPr>
              <w:autoSpaceDE w:val="0"/>
              <w:autoSpaceDN w:val="0"/>
              <w:adjustRightInd w:val="0"/>
              <w:spacing w:line="360" w:lineRule="auto"/>
              <w:jc w:val="left"/>
              <w:rPr>
                <w:rFonts w:hint="eastAsia" w:ascii="宋体" w:hAnsi="宋体" w:eastAsia="宋体" w:cs="宋体"/>
                <w:color w:val="000000"/>
                <w:spacing w:val="-20"/>
                <w:kern w:val="0"/>
                <w:sz w:val="24"/>
                <w:szCs w:val="24"/>
                <w:highlight w:val="none"/>
              </w:rPr>
            </w:pPr>
            <w:r>
              <w:rPr>
                <w:rFonts w:hint="eastAsia" w:ascii="宋体" w:hAnsi="宋体" w:eastAsia="宋体" w:cs="宋体"/>
                <w:color w:val="000000"/>
                <w:spacing w:val="-20"/>
                <w:kern w:val="0"/>
                <w:sz w:val="24"/>
                <w:szCs w:val="24"/>
                <w:highlight w:val="none"/>
              </w:rPr>
              <w:t>开户银行：</w:t>
            </w:r>
          </w:p>
        </w:tc>
      </w:tr>
      <w:tr w14:paraId="45070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7" w:type="dxa"/>
            <w:tcBorders>
              <w:top w:val="single" w:color="auto" w:sz="4" w:space="0"/>
              <w:left w:val="single" w:color="auto" w:sz="4" w:space="0"/>
              <w:bottom w:val="single" w:color="auto" w:sz="4" w:space="0"/>
              <w:right w:val="single" w:color="auto" w:sz="4" w:space="0"/>
            </w:tcBorders>
            <w:noWrap w:val="0"/>
            <w:vAlign w:val="top"/>
          </w:tcPr>
          <w:p w14:paraId="66A4D012">
            <w:pPr>
              <w:autoSpaceDE w:val="0"/>
              <w:autoSpaceDN w:val="0"/>
              <w:adjustRightInd w:val="0"/>
              <w:spacing w:line="360" w:lineRule="auto"/>
              <w:jc w:val="left"/>
              <w:rPr>
                <w:rFonts w:hint="eastAsia" w:ascii="宋体" w:hAnsi="宋体" w:eastAsia="宋体" w:cs="宋体"/>
                <w:color w:val="000000"/>
                <w:spacing w:val="-20"/>
                <w:kern w:val="0"/>
                <w:sz w:val="24"/>
                <w:szCs w:val="24"/>
                <w:highlight w:val="none"/>
              </w:rPr>
            </w:pPr>
          </w:p>
        </w:tc>
        <w:tc>
          <w:tcPr>
            <w:tcW w:w="4232" w:type="dxa"/>
            <w:tcBorders>
              <w:top w:val="single" w:color="auto" w:sz="4" w:space="0"/>
              <w:left w:val="single" w:color="auto" w:sz="4" w:space="0"/>
              <w:bottom w:val="single" w:color="auto" w:sz="4" w:space="0"/>
              <w:right w:val="single" w:color="auto" w:sz="4" w:space="0"/>
            </w:tcBorders>
            <w:noWrap w:val="0"/>
            <w:vAlign w:val="top"/>
          </w:tcPr>
          <w:p w14:paraId="513F0BDD">
            <w:pPr>
              <w:autoSpaceDE w:val="0"/>
              <w:autoSpaceDN w:val="0"/>
              <w:adjustRightInd w:val="0"/>
              <w:spacing w:line="360" w:lineRule="auto"/>
              <w:jc w:val="left"/>
              <w:rPr>
                <w:rFonts w:hint="eastAsia" w:ascii="宋体" w:hAnsi="宋体" w:eastAsia="宋体" w:cs="宋体"/>
                <w:color w:val="000000"/>
                <w:spacing w:val="-20"/>
                <w:kern w:val="0"/>
                <w:sz w:val="24"/>
                <w:szCs w:val="24"/>
                <w:highlight w:val="none"/>
              </w:rPr>
            </w:pPr>
            <w:r>
              <w:rPr>
                <w:rFonts w:hint="eastAsia" w:ascii="宋体" w:hAnsi="宋体" w:eastAsia="宋体" w:cs="宋体"/>
                <w:color w:val="000000"/>
                <w:spacing w:val="-20"/>
                <w:kern w:val="0"/>
                <w:sz w:val="24"/>
                <w:szCs w:val="24"/>
                <w:highlight w:val="none"/>
              </w:rPr>
              <w:t>帐号：</w:t>
            </w:r>
          </w:p>
        </w:tc>
      </w:tr>
      <w:tr w14:paraId="55B22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7" w:type="dxa"/>
            <w:tcBorders>
              <w:top w:val="single" w:color="auto" w:sz="4" w:space="0"/>
              <w:left w:val="single" w:color="auto" w:sz="4" w:space="0"/>
              <w:bottom w:val="single" w:color="auto" w:sz="4" w:space="0"/>
              <w:right w:val="single" w:color="auto" w:sz="4" w:space="0"/>
            </w:tcBorders>
            <w:noWrap w:val="0"/>
            <w:vAlign w:val="top"/>
          </w:tcPr>
          <w:p w14:paraId="712085BB">
            <w:pPr>
              <w:autoSpaceDE w:val="0"/>
              <w:autoSpaceDN w:val="0"/>
              <w:adjustRightInd w:val="0"/>
              <w:spacing w:line="360" w:lineRule="auto"/>
              <w:jc w:val="left"/>
              <w:rPr>
                <w:rFonts w:hint="eastAsia" w:ascii="宋体" w:hAnsi="宋体" w:eastAsia="宋体" w:cs="宋体"/>
                <w:color w:val="000000"/>
                <w:spacing w:val="-20"/>
                <w:kern w:val="0"/>
                <w:sz w:val="24"/>
                <w:szCs w:val="24"/>
                <w:highlight w:val="none"/>
              </w:rPr>
            </w:pPr>
            <w:r>
              <w:rPr>
                <w:rFonts w:hint="eastAsia" w:ascii="宋体" w:hAnsi="宋体" w:eastAsia="宋体" w:cs="宋体"/>
                <w:color w:val="000000"/>
                <w:spacing w:val="-20"/>
                <w:kern w:val="0"/>
                <w:sz w:val="24"/>
                <w:szCs w:val="24"/>
                <w:highlight w:val="none"/>
              </w:rPr>
              <w:t>日期：   年   月   日</w:t>
            </w:r>
          </w:p>
        </w:tc>
        <w:tc>
          <w:tcPr>
            <w:tcW w:w="4232" w:type="dxa"/>
            <w:tcBorders>
              <w:top w:val="single" w:color="auto" w:sz="4" w:space="0"/>
              <w:left w:val="single" w:color="auto" w:sz="4" w:space="0"/>
              <w:bottom w:val="single" w:color="auto" w:sz="4" w:space="0"/>
              <w:right w:val="single" w:color="auto" w:sz="4" w:space="0"/>
            </w:tcBorders>
            <w:noWrap w:val="0"/>
            <w:vAlign w:val="top"/>
          </w:tcPr>
          <w:p w14:paraId="74F99B11">
            <w:pPr>
              <w:autoSpaceDE w:val="0"/>
              <w:autoSpaceDN w:val="0"/>
              <w:adjustRightInd w:val="0"/>
              <w:spacing w:line="360" w:lineRule="auto"/>
              <w:jc w:val="left"/>
              <w:rPr>
                <w:rFonts w:hint="eastAsia" w:ascii="宋体" w:hAnsi="宋体" w:eastAsia="宋体" w:cs="宋体"/>
                <w:color w:val="000000"/>
                <w:spacing w:val="-20"/>
                <w:kern w:val="0"/>
                <w:sz w:val="24"/>
                <w:szCs w:val="24"/>
                <w:highlight w:val="none"/>
              </w:rPr>
            </w:pPr>
            <w:r>
              <w:rPr>
                <w:rFonts w:hint="eastAsia" w:ascii="宋体" w:hAnsi="宋体" w:eastAsia="宋体" w:cs="宋体"/>
                <w:color w:val="000000"/>
                <w:spacing w:val="-20"/>
                <w:kern w:val="0"/>
                <w:sz w:val="24"/>
                <w:szCs w:val="24"/>
                <w:highlight w:val="none"/>
              </w:rPr>
              <w:t>日期：   年   月   日</w:t>
            </w:r>
          </w:p>
        </w:tc>
      </w:tr>
    </w:tbl>
    <w:p w14:paraId="778AD7C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481D31"/>
    <w:rsid w:val="39481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2026-04-22T07:11:00Z</dcterms:created>
  <dc:creator>轻歌</dc:creator>
  <cp:lastModifiedBy>轻歌</cp:lastModifiedBy>
  <dcterms:modified xsi:type="dcterms:W3CDTF">2026-04-22T07:12:47Z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023AB512D61B413BADAA662E9376ED97_11</vt:lpwstr>
  </property>
  <property fmtid="{D5CDD505-2E9C-101B-9397-08002B2CF9AE}" pid="4" name="KSOTemplateDocerSaveRecord">
    <vt:lpwstr>eyJoZGlkIjoiZGIxMGM5ZDM5MTYxZGViNjRkZTA1ZGY1OWI1Zjc4OTkiLCJ1c2VySWQiOiI0NTk5NjE1OTEifQ==</vt:lpwstr>
  </property>
</Properties>
</file>