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版本号：ZYJY-【2026】CS041720260421001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2026年图书资源采购项目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ZYJY-【2026】CS0417</w:t>
      </w:r>
      <w:r>
        <w:br/>
      </w:r>
      <w:r>
        <w:br/>
      </w:r>
      <w:r>
        <w:br/>
      </w:r>
    </w:p>
    <w:p>
      <w:pPr>
        <w:pStyle w:val="null3"/>
        <w:jc w:val="center"/>
        <w:outlineLvl w:val="2"/>
      </w:pPr>
      <w:r>
        <w:rPr>
          <w:rFonts w:ascii="仿宋_GB2312" w:hAnsi="仿宋_GB2312" w:cs="仿宋_GB2312" w:eastAsia="仿宋_GB2312"/>
          <w:sz w:val="28"/>
          <w:b/>
        </w:rPr>
        <w:t>西安开放大学</w:t>
      </w:r>
    </w:p>
    <w:p>
      <w:pPr>
        <w:pStyle w:val="null3"/>
        <w:jc w:val="center"/>
        <w:outlineLvl w:val="2"/>
      </w:pPr>
      <w:r>
        <w:rPr>
          <w:rFonts w:ascii="仿宋_GB2312" w:hAnsi="仿宋_GB2312" w:cs="仿宋_GB2312" w:eastAsia="仿宋_GB2312"/>
          <w:sz w:val="28"/>
          <w:b/>
        </w:rPr>
        <w:t>陕西知源集易招标代理有限公司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陕西知源集易招标代理有限公司</w:t>
      </w:r>
      <w:r>
        <w:rPr>
          <w:rFonts w:ascii="仿宋_GB2312" w:hAnsi="仿宋_GB2312" w:cs="仿宋_GB2312" w:eastAsia="仿宋_GB2312"/>
        </w:rPr>
        <w:t>（以下简称“代理机构”）受</w:t>
      </w:r>
      <w:r>
        <w:rPr>
          <w:rFonts w:ascii="仿宋_GB2312" w:hAnsi="仿宋_GB2312" w:cs="仿宋_GB2312" w:eastAsia="仿宋_GB2312"/>
        </w:rPr>
        <w:t>西安开放大学</w:t>
      </w:r>
      <w:r>
        <w:rPr>
          <w:rFonts w:ascii="仿宋_GB2312" w:hAnsi="仿宋_GB2312" w:cs="仿宋_GB2312" w:eastAsia="仿宋_GB2312"/>
        </w:rPr>
        <w:t>委托，拟对</w:t>
      </w:r>
      <w:r>
        <w:rPr>
          <w:rFonts w:ascii="仿宋_GB2312" w:hAnsi="仿宋_GB2312" w:cs="仿宋_GB2312" w:eastAsia="仿宋_GB2312"/>
        </w:rPr>
        <w:t>2026年图书资源采购项目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ZYJY-【2026】CS0417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2026年图书资源采购项目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西安开放大学2026年图书资源采购项目，具体详见采购文件第三章。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采购包1（西安开放大学2026年图书资源采购项目）：属于专门面向中小企业采购。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1、营业执照等主体资格证明文件：营业执照等主体资格证明文件：提供有效存续的企业营业执照（副本）/事业单位法人证书/专业服务机构执业许可证/民办非企业单位登记证书。自然人参与的提供身份证明；</w:t>
      </w:r>
    </w:p>
    <w:p>
      <w:pPr>
        <w:pStyle w:val="null3"/>
      </w:pPr>
      <w:r>
        <w:rPr>
          <w:rFonts w:ascii="仿宋_GB2312" w:hAnsi="仿宋_GB2312" w:cs="仿宋_GB2312" w:eastAsia="仿宋_GB2312"/>
        </w:rPr>
        <w:t>2、授权书：提供法定代表人授权书（附法定代表人、被授权人身份证复印件）及被授权人身份证原件（法定代表人直接参加投标，须提供法定代表人身份证明及身份证原件）；</w:t>
      </w:r>
    </w:p>
    <w:p>
      <w:pPr>
        <w:pStyle w:val="null3"/>
      </w:pPr>
      <w:r>
        <w:rPr>
          <w:rFonts w:ascii="仿宋_GB2312" w:hAnsi="仿宋_GB2312" w:cs="仿宋_GB2312" w:eastAsia="仿宋_GB2312"/>
        </w:rPr>
        <w:t>3、财务状况报告：财务状况报告：提供2024年度或2025年度完整版的财务审计报告（成立时间至提交投标文件截止时间不足一年的可提供成立后任意时段的资产负债表），或投标时间前六个月内基本账户银行出具的资信证明；</w:t>
      </w:r>
    </w:p>
    <w:p>
      <w:pPr>
        <w:pStyle w:val="null3"/>
      </w:pPr>
      <w:r>
        <w:rPr>
          <w:rFonts w:ascii="仿宋_GB2312" w:hAnsi="仿宋_GB2312" w:cs="仿宋_GB2312" w:eastAsia="仿宋_GB2312"/>
        </w:rPr>
        <w:t>4、税收缴纳证明：税收缴纳证明：提供投标截止之日前一年内已缴纳的至少三个月的纳税证明或完税证明（任意税种），依法免税的单位应提供相关证明材料；</w:t>
      </w:r>
    </w:p>
    <w:p>
      <w:pPr>
        <w:pStyle w:val="null3"/>
      </w:pPr>
      <w:r>
        <w:rPr>
          <w:rFonts w:ascii="仿宋_GB2312" w:hAnsi="仿宋_GB2312" w:cs="仿宋_GB2312" w:eastAsia="仿宋_GB2312"/>
        </w:rPr>
        <w:t>5、社会保障资金缴纳证明：社会保障资金缴纳证明：提供投标截止之日前一年内已缴存的至少三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6、专业技术能力说明：专业技术能力说明：提供具有履行本合同所必需的设备和专业技术能力的说明及承诺书；</w:t>
      </w:r>
    </w:p>
    <w:p>
      <w:pPr>
        <w:pStyle w:val="null3"/>
      </w:pPr>
      <w:r>
        <w:rPr>
          <w:rFonts w:ascii="仿宋_GB2312" w:hAnsi="仿宋_GB2312" w:cs="仿宋_GB2312" w:eastAsia="仿宋_GB2312"/>
        </w:rPr>
        <w:t>7、无重大违法说明：参加政府采购活动前3年内，在经营活动中没有重大违法记录的书面声明；</w:t>
      </w:r>
    </w:p>
    <w:p>
      <w:pPr>
        <w:pStyle w:val="null3"/>
      </w:pPr>
      <w:r>
        <w:rPr>
          <w:rFonts w:ascii="仿宋_GB2312" w:hAnsi="仿宋_GB2312" w:cs="仿宋_GB2312" w:eastAsia="仿宋_GB2312"/>
        </w:rPr>
        <w:t>8、信用记录：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投标人无须提供，投标现场查询）；</w:t>
      </w:r>
    </w:p>
    <w:p>
      <w:pPr>
        <w:pStyle w:val="null3"/>
      </w:pPr>
      <w:r>
        <w:rPr>
          <w:rFonts w:ascii="仿宋_GB2312" w:hAnsi="仿宋_GB2312" w:cs="仿宋_GB2312" w:eastAsia="仿宋_GB2312"/>
        </w:rPr>
        <w:t>9、控股关系承诺书：单位负责人为同一人或存在直接控股、管理关系的不同单位，不得参加同一合同项下的政府采购活动；</w:t>
      </w:r>
    </w:p>
    <w:p>
      <w:pPr>
        <w:pStyle w:val="null3"/>
      </w:pPr>
      <w:r>
        <w:rPr>
          <w:rFonts w:ascii="仿宋_GB2312" w:hAnsi="仿宋_GB2312" w:cs="仿宋_GB2312" w:eastAsia="仿宋_GB2312"/>
        </w:rPr>
        <w:t>10、非联合体承诺书：本项目不接受联合体投标。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西安开放大学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西安市碑林区五味什字48号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029-87610025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陕西知源集易招标代理有限公司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陕西省西安市高新区兰基中心10楼1003室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郑凡、赵雪静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029-89520099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达到限额标准的项目按照《国家发展改革委关于进一步放开建设项目专业服务价格的通知》（发改价格（2015）299号）文件的要求，结合市场实际情况，经甲、乙双方协商一致，以中标金额为基准，标准收取。2、支付方式：成交供应商应在领取通知书的同时，支付本项目代理服务费。收款账户如下： 收款单位：陕西知源集易招标代理有限公司 开户银行：西安银行股份有限公司西安曲江支行 银行账号：981011510000073005</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西安开放大学</w:t>
      </w:r>
      <w:r>
        <w:rPr>
          <w:rFonts w:ascii="仿宋_GB2312" w:hAnsi="仿宋_GB2312" w:cs="仿宋_GB2312" w:eastAsia="仿宋_GB2312"/>
        </w:rPr>
        <w:t>和</w:t>
      </w:r>
      <w:r>
        <w:rPr>
          <w:rFonts w:ascii="仿宋_GB2312" w:hAnsi="仿宋_GB2312" w:cs="仿宋_GB2312" w:eastAsia="仿宋_GB2312"/>
        </w:rPr>
        <w:t>陕西知源集易招标代理有限公司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西安开放大学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陕西知源集易招标代理有限公司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西安开放大学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陕西知源集易招标代理有限公司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陕西知源集易招标代理有限公司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陕西知源集易招标代理有限公司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陕西知源集易招标代理有限公司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联系人：郑凡、赵雪静</w:t>
      </w:r>
    </w:p>
    <w:p>
      <w:pPr>
        <w:pStyle w:val="null3"/>
      </w:pPr>
      <w:r>
        <w:rPr>
          <w:rFonts w:ascii="仿宋_GB2312" w:hAnsi="仿宋_GB2312" w:cs="仿宋_GB2312" w:eastAsia="仿宋_GB2312"/>
        </w:rPr>
        <w:t>联系电话：029-89520099</w:t>
      </w:r>
    </w:p>
    <w:p>
      <w:pPr>
        <w:pStyle w:val="null3"/>
      </w:pPr>
      <w:r>
        <w:rPr>
          <w:rFonts w:ascii="仿宋_GB2312" w:hAnsi="仿宋_GB2312" w:cs="仿宋_GB2312" w:eastAsia="仿宋_GB2312"/>
        </w:rPr>
        <w:t>地址：陕西省西安市高新区科技二路兰基中心10楼1003室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西安开放大学图书馆创建于1980年，开放时间为 56 小时/周，服务对象主要为全体教职员工、开放教育及直属办学单位的学生、省市干部教育学员。近几年，图书馆紧紧围绕学校工作要点，坚持以全面收藏远程开放教育、成人教育和继续教育方面的文献资料为基础，以满足学校教学管理和科研需要为重点开展图书资源建设工作。经过多年的努力，我校已初步建立了适应现代远程教育特点和本校特色的馆藏体系，每年订阅中国知网学术文献数据库、超星数字图书移动图书馆等资源，满足各类学习者的数字化图书资源需求和阅读需求。 为进一步完善学校图书馆数字资源，提高我馆图书资源利用率，更好地服务师生，学校必须持续加强图书资源的建设，才能保障各项工作顺利开展，促进学校转型发展，满足师生研学需求。本项目主要包含数字图书馆、学术文献数据库的1年访问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互联网信息服务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标的名称：互联网信息服务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45"/>
              <w:ind w:left="525"/>
              <w:jc w:val="left"/>
            </w:pPr>
            <w:r>
              <w:rPr>
                <w:rFonts w:ascii="仿宋_GB2312" w:hAnsi="仿宋_GB2312" w:cs="仿宋_GB2312" w:eastAsia="仿宋_GB2312"/>
                <w:sz w:val="20"/>
                <w:b/>
                <w:color w:val="0000FF"/>
              </w:rPr>
              <w:t>一、项目概况</w:t>
            </w:r>
          </w:p>
          <w:p>
            <w:pPr>
              <w:pStyle w:val="null3"/>
              <w:spacing w:before="180"/>
              <w:ind w:left="45" w:right="30" w:firstLine="485"/>
              <w:jc w:val="both"/>
            </w:pPr>
            <w:r>
              <w:rPr>
                <w:rFonts w:ascii="仿宋_GB2312" w:hAnsi="仿宋_GB2312" w:cs="仿宋_GB2312" w:eastAsia="仿宋_GB2312"/>
                <w:sz w:val="20"/>
                <w:color w:val="0000FF"/>
              </w:rPr>
              <w:t>西安开放大学图书馆创建于</w:t>
            </w:r>
            <w:r>
              <w:rPr>
                <w:rFonts w:ascii="仿宋_GB2312" w:hAnsi="仿宋_GB2312" w:cs="仿宋_GB2312" w:eastAsia="仿宋_GB2312"/>
                <w:sz w:val="20"/>
                <w:color w:val="0000FF"/>
              </w:rPr>
              <w:t>1980年，开放时间为 56 小时/周，服务对象主要为全体教职员工、开放教育及直属办学单位的学生、省市干部教育学员。近几年，图书馆紧紧围绕学校工作要点，坚持以全面收藏远程开放教育、成人教育和继续教育方面的文献资料为基础，以满足学校教学管理和科研需要为重点开展图书资源建设工作。经过多年的努力，我校已初步建立了适应现代远程教育特点和本校特色的馆藏体系，每年订阅中国知网学术文献数据库、超星数字图书移动图书馆等资源，满足各类学习者的数字化图书资源需求和阅读需求。</w:t>
            </w:r>
          </w:p>
          <w:p>
            <w:pPr>
              <w:pStyle w:val="null3"/>
              <w:ind w:firstLine="400"/>
              <w:jc w:val="left"/>
            </w:pPr>
            <w:r>
              <w:rPr>
                <w:rFonts w:ascii="仿宋_GB2312" w:hAnsi="仿宋_GB2312" w:cs="仿宋_GB2312" w:eastAsia="仿宋_GB2312"/>
                <w:sz w:val="20"/>
                <w:color w:val="0000FF"/>
              </w:rPr>
              <w:t>为进一步完善学校图书馆数字资源，提高我馆图书资源利用率，更好地服务师生，学校必须持续加强图书资源的建设，才能保障各项工作顺利开展，促进学校转型发展，满足师生研学需求。本项目主要包含数字图书馆、学术文献数据库的</w:t>
            </w:r>
            <w:r>
              <w:rPr>
                <w:rFonts w:ascii="仿宋_GB2312" w:hAnsi="仿宋_GB2312" w:cs="仿宋_GB2312" w:eastAsia="仿宋_GB2312"/>
                <w:sz w:val="20"/>
                <w:color w:val="0000FF"/>
              </w:rPr>
              <w:t>1年访问服务</w:t>
            </w:r>
            <w:r>
              <w:rPr>
                <w:rFonts w:ascii="仿宋_GB2312" w:hAnsi="仿宋_GB2312" w:cs="仿宋_GB2312" w:eastAsia="仿宋_GB2312"/>
                <w:sz w:val="20"/>
                <w:color w:val="0000FF"/>
              </w:rPr>
              <w:t>。</w:t>
            </w:r>
          </w:p>
          <w:p>
            <w:pPr>
              <w:pStyle w:val="null3"/>
              <w:spacing w:before="45"/>
              <w:ind w:left="525"/>
              <w:jc w:val="left"/>
            </w:pPr>
            <w:r>
              <w:rPr>
                <w:rFonts w:ascii="仿宋_GB2312" w:hAnsi="仿宋_GB2312" w:cs="仿宋_GB2312" w:eastAsia="仿宋_GB2312"/>
                <w:sz w:val="20"/>
                <w:b/>
                <w:color w:val="0000FF"/>
              </w:rPr>
              <w:t>二</w:t>
            </w:r>
            <w:r>
              <w:rPr>
                <w:rFonts w:ascii="仿宋_GB2312" w:hAnsi="仿宋_GB2312" w:cs="仿宋_GB2312" w:eastAsia="仿宋_GB2312"/>
                <w:sz w:val="20"/>
                <w:b/>
                <w:color w:val="0000FF"/>
              </w:rPr>
              <w:t>、</w:t>
            </w:r>
            <w:r>
              <w:rPr>
                <w:rFonts w:ascii="仿宋_GB2312" w:hAnsi="仿宋_GB2312" w:cs="仿宋_GB2312" w:eastAsia="仿宋_GB2312"/>
                <w:sz w:val="20"/>
                <w:b/>
                <w:color w:val="0000FF"/>
              </w:rPr>
              <w:t>服务内容</w:t>
            </w:r>
          </w:p>
          <w:tbl>
            <w:tblPr>
              <w:tblInd w:type="dxa" w:w="120"/>
              <w:tblBorders>
                <w:top w:val="none" w:color="000000" w:sz="4"/>
                <w:left w:val="none" w:color="000000" w:sz="4"/>
                <w:bottom w:val="none" w:color="000000" w:sz="4"/>
                <w:right w:val="none" w:color="000000" w:sz="4"/>
                <w:insideH w:val="none"/>
                <w:insideV w:val="none"/>
              </w:tblBorders>
            </w:tblPr>
            <w:tblGrid>
              <w:gridCol w:w="214"/>
              <w:gridCol w:w="1698"/>
              <w:gridCol w:w="305"/>
              <w:gridCol w:w="336"/>
            </w:tblGrid>
            <w:tr>
              <w:tc>
                <w:tcPr>
                  <w:tcW w:type="dxa" w:w="2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jc w:val="left"/>
                  </w:pPr>
                  <w:r>
                    <w:rPr>
                      <w:rFonts w:ascii="仿宋_GB2312" w:hAnsi="仿宋_GB2312" w:cs="仿宋_GB2312" w:eastAsia="仿宋_GB2312"/>
                      <w:sz w:val="20"/>
                      <w:color w:val="0000FF"/>
                    </w:rPr>
                    <w:t>序号</w:t>
                  </w:r>
                </w:p>
              </w:tc>
              <w:tc>
                <w:tcPr>
                  <w:tcW w:type="dxa" w:w="16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jc w:val="left"/>
                  </w:pPr>
                  <w:r>
                    <w:rPr>
                      <w:rFonts w:ascii="仿宋_GB2312" w:hAnsi="仿宋_GB2312" w:cs="仿宋_GB2312" w:eastAsia="仿宋_GB2312"/>
                      <w:sz w:val="20"/>
                      <w:color w:val="0000FF"/>
                    </w:rPr>
                    <w:t>项目</w:t>
                  </w:r>
                </w:p>
              </w:tc>
              <w:tc>
                <w:tcPr>
                  <w:tcW w:type="dxa" w:w="3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jc w:val="left"/>
                  </w:pPr>
                  <w:r>
                    <w:rPr>
                      <w:rFonts w:ascii="仿宋_GB2312" w:hAnsi="仿宋_GB2312" w:cs="仿宋_GB2312" w:eastAsia="仿宋_GB2312"/>
                      <w:sz w:val="20"/>
                      <w:b/>
                      <w:color w:val="0000FF"/>
                    </w:rPr>
                    <w:t>产品年度</w:t>
                  </w:r>
                </w:p>
              </w:tc>
              <w:tc>
                <w:tcPr>
                  <w:tcW w:type="dxa" w:w="3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jc w:val="left"/>
                  </w:pPr>
                  <w:r>
                    <w:rPr>
                      <w:rFonts w:ascii="仿宋_GB2312" w:hAnsi="仿宋_GB2312" w:cs="仿宋_GB2312" w:eastAsia="仿宋_GB2312"/>
                      <w:sz w:val="20"/>
                      <w:b/>
                      <w:color w:val="0000FF"/>
                    </w:rPr>
                    <w:t>服务期限</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jc w:val="left"/>
                  </w:pPr>
                  <w:r>
                    <w:rPr>
                      <w:rFonts w:ascii="仿宋_GB2312" w:hAnsi="仿宋_GB2312" w:cs="仿宋_GB2312" w:eastAsia="仿宋_GB2312"/>
                      <w:sz w:val="20"/>
                      <w:color w:val="0000FF"/>
                    </w:rPr>
                    <w:t>1</w:t>
                  </w:r>
                </w:p>
              </w:tc>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jc w:val="left"/>
                  </w:pPr>
                  <w:r>
                    <w:rPr>
                      <w:rFonts w:ascii="仿宋_GB2312" w:hAnsi="仿宋_GB2312" w:cs="仿宋_GB2312" w:eastAsia="仿宋_GB2312"/>
                      <w:sz w:val="20"/>
                      <w:color w:val="0000FF"/>
                    </w:rPr>
                    <w:t>续订</w:t>
                  </w:r>
                  <w:r>
                    <w:rPr>
                      <w:rFonts w:ascii="仿宋_GB2312" w:hAnsi="仿宋_GB2312" w:cs="仿宋_GB2312" w:eastAsia="仿宋_GB2312"/>
                      <w:sz w:val="20"/>
                      <w:color w:val="0000FF"/>
                    </w:rPr>
                    <w:t>202</w:t>
                  </w:r>
                  <w:r>
                    <w:rPr>
                      <w:rFonts w:ascii="仿宋_GB2312" w:hAnsi="仿宋_GB2312" w:cs="仿宋_GB2312" w:eastAsia="仿宋_GB2312"/>
                      <w:sz w:val="20"/>
                      <w:color w:val="0000FF"/>
                    </w:rPr>
                    <w:t>6</w:t>
                  </w:r>
                  <w:r>
                    <w:rPr>
                      <w:rFonts w:ascii="仿宋_GB2312" w:hAnsi="仿宋_GB2312" w:cs="仿宋_GB2312" w:eastAsia="仿宋_GB2312"/>
                      <w:sz w:val="20"/>
                      <w:color w:val="0000FF"/>
                    </w:rPr>
                    <w:t>年数字图书移动图书馆资源使用服务</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jc w:val="center"/>
                  </w:pPr>
                  <w:r>
                    <w:rPr>
                      <w:rFonts w:ascii="仿宋_GB2312" w:hAnsi="仿宋_GB2312" w:cs="仿宋_GB2312" w:eastAsia="仿宋_GB2312"/>
                      <w:sz w:val="20"/>
                      <w:color w:val="0000FF"/>
                    </w:rPr>
                    <w:t>2026年度</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jc w:val="center"/>
                  </w:pPr>
                  <w:r>
                    <w:rPr>
                      <w:rFonts w:ascii="仿宋_GB2312" w:hAnsi="仿宋_GB2312" w:cs="仿宋_GB2312" w:eastAsia="仿宋_GB2312"/>
                      <w:sz w:val="20"/>
                      <w:color w:val="0000FF"/>
                    </w:rPr>
                    <w:t>1年</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jc w:val="left"/>
                  </w:pPr>
                  <w:r>
                    <w:rPr>
                      <w:rFonts w:ascii="仿宋_GB2312" w:hAnsi="仿宋_GB2312" w:cs="仿宋_GB2312" w:eastAsia="仿宋_GB2312"/>
                      <w:sz w:val="20"/>
                      <w:color w:val="0000FF"/>
                    </w:rPr>
                    <w:t>2</w:t>
                  </w:r>
                </w:p>
              </w:tc>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jc w:val="left"/>
                  </w:pPr>
                  <w:r>
                    <w:rPr>
                      <w:rFonts w:ascii="仿宋_GB2312" w:hAnsi="仿宋_GB2312" w:cs="仿宋_GB2312" w:eastAsia="仿宋_GB2312"/>
                      <w:sz w:val="20"/>
                      <w:color w:val="0000FF"/>
                    </w:rPr>
                    <w:t>续订</w:t>
                  </w:r>
                  <w:r>
                    <w:rPr>
                      <w:rFonts w:ascii="仿宋_GB2312" w:hAnsi="仿宋_GB2312" w:cs="仿宋_GB2312" w:eastAsia="仿宋_GB2312"/>
                      <w:sz w:val="20"/>
                      <w:color w:val="0000FF"/>
                    </w:rPr>
                    <w:t>202</w:t>
                  </w:r>
                  <w:r>
                    <w:rPr>
                      <w:rFonts w:ascii="仿宋_GB2312" w:hAnsi="仿宋_GB2312" w:cs="仿宋_GB2312" w:eastAsia="仿宋_GB2312"/>
                      <w:sz w:val="20"/>
                      <w:color w:val="0000FF"/>
                    </w:rPr>
                    <w:t>6</w:t>
                  </w:r>
                  <w:r>
                    <w:rPr>
                      <w:rFonts w:ascii="仿宋_GB2312" w:hAnsi="仿宋_GB2312" w:cs="仿宋_GB2312" w:eastAsia="仿宋_GB2312"/>
                      <w:sz w:val="20"/>
                      <w:color w:val="0000FF"/>
                    </w:rPr>
                    <w:t>年学术期刊文献数据库，包含：</w:t>
                  </w:r>
                </w:p>
                <w:p>
                  <w:pPr>
                    <w:pStyle w:val="null3"/>
                    <w:spacing w:before="45"/>
                    <w:jc w:val="left"/>
                  </w:pPr>
                  <w:r>
                    <w:rPr>
                      <w:rFonts w:ascii="仿宋_GB2312" w:hAnsi="仿宋_GB2312" w:cs="仿宋_GB2312" w:eastAsia="仿宋_GB2312"/>
                      <w:sz w:val="20"/>
                      <w:color w:val="0000FF"/>
                    </w:rPr>
                    <w:t>（</w:t>
                  </w:r>
                  <w:r>
                    <w:rPr>
                      <w:rFonts w:ascii="仿宋_GB2312" w:hAnsi="仿宋_GB2312" w:cs="仿宋_GB2312" w:eastAsia="仿宋_GB2312"/>
                      <w:sz w:val="20"/>
                      <w:color w:val="0000FF"/>
                    </w:rPr>
                    <w:t>1）中国学术期刊(网络版)C,F,H,J专辑</w:t>
                  </w:r>
                  <w:r>
                    <w:rPr>
                      <w:rFonts w:ascii="仿宋_GB2312" w:hAnsi="仿宋_GB2312" w:cs="仿宋_GB2312" w:eastAsia="仿宋_GB2312"/>
                      <w:sz w:val="20"/>
                      <w:color w:val="0000FF"/>
                    </w:rPr>
                    <w:t>；</w:t>
                  </w:r>
                </w:p>
                <w:p>
                  <w:pPr>
                    <w:pStyle w:val="null3"/>
                    <w:spacing w:before="45"/>
                    <w:jc w:val="left"/>
                  </w:pPr>
                  <w:r>
                    <w:rPr>
                      <w:rFonts w:ascii="仿宋_GB2312" w:hAnsi="仿宋_GB2312" w:cs="仿宋_GB2312" w:eastAsia="仿宋_GB2312"/>
                      <w:sz w:val="20"/>
                      <w:color w:val="0000FF"/>
                    </w:rPr>
                    <w:t>（</w:t>
                  </w:r>
                  <w:r>
                    <w:rPr>
                      <w:rFonts w:ascii="仿宋_GB2312" w:hAnsi="仿宋_GB2312" w:cs="仿宋_GB2312" w:eastAsia="仿宋_GB2312"/>
                      <w:sz w:val="20"/>
                      <w:color w:val="0000FF"/>
                    </w:rPr>
                    <w:t>2）中国博士学位论文全文数据库C,F,H,J专辑</w:t>
                  </w:r>
                  <w:r>
                    <w:rPr>
                      <w:rFonts w:ascii="仿宋_GB2312" w:hAnsi="仿宋_GB2312" w:cs="仿宋_GB2312" w:eastAsia="仿宋_GB2312"/>
                      <w:sz w:val="20"/>
                      <w:color w:val="0000FF"/>
                    </w:rPr>
                    <w:t>；</w:t>
                  </w:r>
                </w:p>
                <w:p>
                  <w:pPr>
                    <w:pStyle w:val="null3"/>
                    <w:spacing w:before="45"/>
                    <w:jc w:val="left"/>
                  </w:pPr>
                  <w:r>
                    <w:rPr>
                      <w:rFonts w:ascii="仿宋_GB2312" w:hAnsi="仿宋_GB2312" w:cs="仿宋_GB2312" w:eastAsia="仿宋_GB2312"/>
                      <w:sz w:val="20"/>
                      <w:color w:val="0000FF"/>
                    </w:rPr>
                    <w:t>（</w:t>
                  </w:r>
                  <w:r>
                    <w:rPr>
                      <w:rFonts w:ascii="仿宋_GB2312" w:hAnsi="仿宋_GB2312" w:cs="仿宋_GB2312" w:eastAsia="仿宋_GB2312"/>
                      <w:sz w:val="20"/>
                      <w:color w:val="0000FF"/>
                    </w:rPr>
                    <w:t>3）中国优秀硕士学位论文全文数据C,F,H,J专辑</w:t>
                  </w:r>
                  <w:r>
                    <w:rPr>
                      <w:rFonts w:ascii="仿宋_GB2312" w:hAnsi="仿宋_GB2312" w:cs="仿宋_GB2312" w:eastAsia="仿宋_GB2312"/>
                      <w:sz w:val="20"/>
                      <w:color w:val="0000FF"/>
                    </w:rPr>
                    <w:t>；</w:t>
                  </w:r>
                </w:p>
                <w:p>
                  <w:pPr>
                    <w:pStyle w:val="null3"/>
                    <w:spacing w:before="45"/>
                    <w:jc w:val="left"/>
                  </w:pPr>
                  <w:r>
                    <w:rPr>
                      <w:rFonts w:ascii="仿宋_GB2312" w:hAnsi="仿宋_GB2312" w:cs="仿宋_GB2312" w:eastAsia="仿宋_GB2312"/>
                      <w:sz w:val="20"/>
                      <w:color w:val="0000FF"/>
                    </w:rPr>
                    <w:t>（</w:t>
                  </w:r>
                  <w:r>
                    <w:rPr>
                      <w:rFonts w:ascii="仿宋_GB2312" w:hAnsi="仿宋_GB2312" w:cs="仿宋_GB2312" w:eastAsia="仿宋_GB2312"/>
                      <w:sz w:val="20"/>
                      <w:color w:val="0000FF"/>
                    </w:rPr>
                    <w:t>4）中国重要会议论文全文数据库C,F,H,J专辑</w:t>
                  </w:r>
                  <w:r>
                    <w:rPr>
                      <w:rFonts w:ascii="仿宋_GB2312" w:hAnsi="仿宋_GB2312" w:cs="仿宋_GB2312" w:eastAsia="仿宋_GB2312"/>
                      <w:sz w:val="20"/>
                      <w:color w:val="0000FF"/>
                    </w:rPr>
                    <w:t>；</w:t>
                  </w:r>
                </w:p>
                <w:p>
                  <w:pPr>
                    <w:pStyle w:val="null3"/>
                    <w:spacing w:before="45"/>
                    <w:jc w:val="left"/>
                  </w:pPr>
                  <w:r>
                    <w:rPr>
                      <w:rFonts w:ascii="仿宋_GB2312" w:hAnsi="仿宋_GB2312" w:cs="仿宋_GB2312" w:eastAsia="仿宋_GB2312"/>
                      <w:sz w:val="20"/>
                      <w:color w:val="0000FF"/>
                    </w:rPr>
                    <w:t>（</w:t>
                  </w:r>
                  <w:r>
                    <w:rPr>
                      <w:rFonts w:ascii="仿宋_GB2312" w:hAnsi="仿宋_GB2312" w:cs="仿宋_GB2312" w:eastAsia="仿宋_GB2312"/>
                      <w:sz w:val="20"/>
                      <w:color w:val="0000FF"/>
                    </w:rPr>
                    <w:t>5）《中国精品文艺作品期刊文献库》</w:t>
                  </w:r>
                  <w:r>
                    <w:rPr>
                      <w:rFonts w:ascii="仿宋_GB2312" w:hAnsi="仿宋_GB2312" w:cs="仿宋_GB2312" w:eastAsia="仿宋_GB2312"/>
                      <w:sz w:val="20"/>
                      <w:color w:val="0000FF"/>
                    </w:rPr>
                    <w:t>；</w:t>
                  </w:r>
                </w:p>
                <w:p>
                  <w:pPr>
                    <w:pStyle w:val="null3"/>
                    <w:spacing w:before="45"/>
                    <w:jc w:val="left"/>
                  </w:pPr>
                  <w:r>
                    <w:rPr>
                      <w:rFonts w:ascii="仿宋_GB2312" w:hAnsi="仿宋_GB2312" w:cs="仿宋_GB2312" w:eastAsia="仿宋_GB2312"/>
                      <w:sz w:val="20"/>
                      <w:color w:val="0000FF"/>
                    </w:rPr>
                    <w:t>（</w:t>
                  </w:r>
                  <w:r>
                    <w:rPr>
                      <w:rFonts w:ascii="仿宋_GB2312" w:hAnsi="仿宋_GB2312" w:cs="仿宋_GB2312" w:eastAsia="仿宋_GB2312"/>
                      <w:sz w:val="20"/>
                      <w:color w:val="0000FF"/>
                    </w:rPr>
                    <w:t>6）期刊个刊流量</w:t>
                  </w:r>
                  <w:r>
                    <w:rPr>
                      <w:rFonts w:ascii="仿宋_GB2312" w:hAnsi="仿宋_GB2312" w:cs="仿宋_GB2312" w:eastAsia="仿宋_GB2312"/>
                      <w:sz w:val="20"/>
                      <w:color w:val="0000FF"/>
                    </w:rPr>
                    <w:t>；</w:t>
                  </w:r>
                </w:p>
                <w:p>
                  <w:pPr>
                    <w:pStyle w:val="null3"/>
                    <w:spacing w:before="45"/>
                    <w:jc w:val="left"/>
                  </w:pPr>
                  <w:r>
                    <w:rPr>
                      <w:rFonts w:ascii="仿宋_GB2312" w:hAnsi="仿宋_GB2312" w:cs="仿宋_GB2312" w:eastAsia="仿宋_GB2312"/>
                      <w:sz w:val="20"/>
                      <w:color w:val="0000FF"/>
                    </w:rPr>
                    <w:t>其中总库并发</w:t>
                  </w:r>
                  <w:r>
                    <w:rPr>
                      <w:rFonts w:ascii="仿宋_GB2312" w:hAnsi="仿宋_GB2312" w:cs="仿宋_GB2312" w:eastAsia="仿宋_GB2312"/>
                      <w:sz w:val="20"/>
                      <w:color w:val="0000FF"/>
                    </w:rPr>
                    <w:t>80个，漫游账号50个</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jc w:val="center"/>
                  </w:pPr>
                  <w:r>
                    <w:rPr>
                      <w:rFonts w:ascii="仿宋_GB2312" w:hAnsi="仿宋_GB2312" w:cs="仿宋_GB2312" w:eastAsia="仿宋_GB2312"/>
                      <w:sz w:val="20"/>
                      <w:color w:val="0000FF"/>
                    </w:rPr>
                    <w:t>2026年度</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jc w:val="center"/>
                  </w:pPr>
                  <w:r>
                    <w:rPr>
                      <w:rFonts w:ascii="仿宋_GB2312" w:hAnsi="仿宋_GB2312" w:cs="仿宋_GB2312" w:eastAsia="仿宋_GB2312"/>
                      <w:sz w:val="20"/>
                      <w:color w:val="0000FF"/>
                    </w:rPr>
                    <w:t>1年</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jc w:val="left"/>
                  </w:pPr>
                  <w:r>
                    <w:rPr>
                      <w:rFonts w:ascii="仿宋_GB2312" w:hAnsi="仿宋_GB2312" w:cs="仿宋_GB2312" w:eastAsia="仿宋_GB2312"/>
                      <w:sz w:val="20"/>
                      <w:color w:val="0000FF"/>
                    </w:rPr>
                    <w:t>3</w:t>
                  </w:r>
                </w:p>
              </w:tc>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jc w:val="left"/>
                  </w:pPr>
                  <w:r>
                    <w:rPr>
                      <w:rFonts w:ascii="仿宋_GB2312" w:hAnsi="仿宋_GB2312" w:cs="仿宋_GB2312" w:eastAsia="仿宋_GB2312"/>
                      <w:sz w:val="20"/>
                      <w:color w:val="0000FF"/>
                    </w:rPr>
                    <w:t>纸质图书采购及入库配套耗材</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jc w:val="center"/>
                  </w:pPr>
                  <w:r>
                    <w:rPr>
                      <w:rFonts w:ascii="仿宋_GB2312" w:hAnsi="仿宋_GB2312" w:cs="仿宋_GB2312" w:eastAsia="仿宋_GB2312"/>
                      <w:sz w:val="20"/>
                      <w:color w:val="0000FF"/>
                    </w:rPr>
                    <w:t>2026年度</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jc w:val="center"/>
                  </w:pPr>
                  <w:r>
                    <w:rPr>
                      <w:rFonts w:ascii="仿宋_GB2312" w:hAnsi="仿宋_GB2312" w:cs="仿宋_GB2312" w:eastAsia="仿宋_GB2312"/>
                      <w:sz w:val="20"/>
                      <w:color w:val="0000FF"/>
                    </w:rPr>
                    <w:t>1年</w:t>
                  </w:r>
                </w:p>
              </w:tc>
            </w:tr>
          </w:tbl>
          <w:p>
            <w:pPr>
              <w:pStyle w:val="null3"/>
              <w:spacing w:before="180"/>
              <w:ind w:left="45" w:right="30" w:firstLine="485"/>
              <w:jc w:val="both"/>
            </w:pPr>
            <w:r>
              <w:rPr>
                <w:rFonts w:ascii="仿宋_GB2312" w:hAnsi="仿宋_GB2312" w:cs="仿宋_GB2312" w:eastAsia="仿宋_GB2312"/>
                <w:sz w:val="20"/>
                <w:b/>
                <w:color w:val="0000FF"/>
              </w:rPr>
              <w:t>三、技术要求</w:t>
            </w:r>
          </w:p>
          <w:p>
            <w:pPr>
              <w:pStyle w:val="null3"/>
              <w:spacing w:before="180"/>
              <w:ind w:left="45" w:right="30" w:firstLine="485"/>
              <w:jc w:val="both"/>
            </w:pPr>
            <w:r>
              <w:rPr>
                <w:rFonts w:ascii="仿宋_GB2312" w:hAnsi="仿宋_GB2312" w:cs="仿宋_GB2312" w:eastAsia="仿宋_GB2312"/>
                <w:sz w:val="20"/>
                <w:color w:val="0000FF"/>
              </w:rPr>
              <w:t>（一）续订</w:t>
            </w:r>
            <w:r>
              <w:rPr>
                <w:rFonts w:ascii="仿宋_GB2312" w:hAnsi="仿宋_GB2312" w:cs="仿宋_GB2312" w:eastAsia="仿宋_GB2312"/>
                <w:sz w:val="20"/>
                <w:color w:val="0000FF"/>
              </w:rPr>
              <w:t>2026年数字图书移动图书馆资源使用服务</w:t>
            </w:r>
          </w:p>
          <w:p>
            <w:pPr>
              <w:pStyle w:val="null3"/>
              <w:spacing w:before="180"/>
              <w:ind w:left="45" w:right="30" w:firstLine="485"/>
              <w:jc w:val="both"/>
            </w:pPr>
            <w:r>
              <w:rPr>
                <w:rFonts w:ascii="仿宋_GB2312" w:hAnsi="仿宋_GB2312" w:cs="仿宋_GB2312" w:eastAsia="仿宋_GB2312"/>
                <w:sz w:val="20"/>
                <w:color w:val="0000FF"/>
              </w:rPr>
              <w:t>1.所提供电子图书资源需覆盖中图分类法22个大类，为了保证图书准确性，保持图书原文原貌，提供不低于100万种PDG图像格式图书全文在线阅读。</w:t>
            </w:r>
          </w:p>
          <w:p>
            <w:pPr>
              <w:pStyle w:val="null3"/>
              <w:spacing w:before="180"/>
              <w:ind w:left="45" w:right="30" w:firstLine="485"/>
              <w:jc w:val="both"/>
            </w:pPr>
            <w:r>
              <w:rPr>
                <w:rFonts w:ascii="仿宋_GB2312" w:hAnsi="仿宋_GB2312" w:cs="仿宋_GB2312" w:eastAsia="仿宋_GB2312"/>
                <w:sz w:val="20"/>
                <w:color w:val="0000FF"/>
              </w:rPr>
              <w:t>★2.移动图书馆可在不同移动终端上阅读访问。提供适合手机使用的图书资源，需包含图书封面信息、目录及在手机中完成试读，并且通过移动图书馆，可以查询到全国的馆藏信息。</w:t>
            </w:r>
          </w:p>
          <w:p>
            <w:pPr>
              <w:pStyle w:val="null3"/>
              <w:spacing w:before="180"/>
              <w:ind w:left="45" w:right="30" w:firstLine="485"/>
              <w:jc w:val="both"/>
            </w:pPr>
            <w:r>
              <w:rPr>
                <w:rFonts w:ascii="仿宋_GB2312" w:hAnsi="仿宋_GB2312" w:cs="仿宋_GB2312" w:eastAsia="仿宋_GB2312"/>
                <w:sz w:val="20"/>
                <w:color w:val="0000FF"/>
              </w:rPr>
              <w:t>★3.提供适合手机使用的且具有完全自主知识产权的视频，支持有声读物播放，为满足读者视听需求，移动图书馆视频内嵌资源量要求不少于1万集。</w:t>
            </w:r>
          </w:p>
          <w:p>
            <w:pPr>
              <w:pStyle w:val="null3"/>
              <w:spacing w:before="180"/>
              <w:ind w:left="45" w:right="30" w:firstLine="485"/>
              <w:jc w:val="both"/>
            </w:pPr>
            <w:r>
              <w:rPr>
                <w:rFonts w:ascii="仿宋_GB2312" w:hAnsi="仿宋_GB2312" w:cs="仿宋_GB2312" w:eastAsia="仿宋_GB2312"/>
                <w:sz w:val="20"/>
                <w:color w:val="0000FF"/>
              </w:rPr>
              <w:t>4.整合的期刊、论文等摘要页面要显示相关文献来源，且能提供适合移动设备的链接访问，并提供文献传递服务。</w:t>
            </w:r>
          </w:p>
          <w:p>
            <w:pPr>
              <w:pStyle w:val="null3"/>
              <w:spacing w:before="180"/>
              <w:ind w:left="45" w:right="30" w:firstLine="485"/>
              <w:jc w:val="both"/>
            </w:pPr>
            <w:r>
              <w:rPr>
                <w:rFonts w:ascii="仿宋_GB2312" w:hAnsi="仿宋_GB2312" w:cs="仿宋_GB2312" w:eastAsia="仿宋_GB2312"/>
                <w:sz w:val="20"/>
                <w:color w:val="0000FF"/>
              </w:rPr>
              <w:t>5.提供各类资源导航，包括图书、期刊、讲座等，并实现热门资源的推荐。</w:t>
            </w:r>
          </w:p>
          <w:p>
            <w:pPr>
              <w:pStyle w:val="null3"/>
              <w:spacing w:before="180"/>
              <w:ind w:left="45" w:right="30" w:firstLine="485"/>
              <w:jc w:val="both"/>
            </w:pPr>
            <w:r>
              <w:rPr>
                <w:rFonts w:ascii="仿宋_GB2312" w:hAnsi="仿宋_GB2312" w:cs="仿宋_GB2312" w:eastAsia="仿宋_GB2312"/>
                <w:sz w:val="20"/>
                <w:color w:val="0000FF"/>
              </w:rPr>
              <w:t>6.用户在用手机查找文献时，可提出申请将检索结果直接发送到个人邮箱。</w:t>
            </w:r>
          </w:p>
          <w:p>
            <w:pPr>
              <w:pStyle w:val="null3"/>
              <w:spacing w:before="180"/>
              <w:ind w:left="45" w:right="30" w:firstLine="485"/>
              <w:jc w:val="both"/>
            </w:pPr>
            <w:r>
              <w:rPr>
                <w:rFonts w:ascii="仿宋_GB2312" w:hAnsi="仿宋_GB2312" w:cs="仿宋_GB2312" w:eastAsia="仿宋_GB2312"/>
                <w:sz w:val="20"/>
                <w:color w:val="0000FF"/>
              </w:rPr>
              <w:t>7.支持检索结果筛选，支持多种筛选模式，如按时间，标题等。</w:t>
            </w:r>
          </w:p>
          <w:p>
            <w:pPr>
              <w:pStyle w:val="null3"/>
              <w:spacing w:before="180"/>
              <w:ind w:left="45" w:right="30" w:firstLine="485"/>
              <w:jc w:val="both"/>
            </w:pPr>
            <w:r>
              <w:rPr>
                <w:rFonts w:ascii="仿宋_GB2312" w:hAnsi="仿宋_GB2312" w:cs="仿宋_GB2312" w:eastAsia="仿宋_GB2312"/>
                <w:sz w:val="20"/>
                <w:color w:val="0000FF"/>
              </w:rPr>
              <w:t>8.支持横屏阅读，可进行批注，标示等操作。</w:t>
            </w:r>
          </w:p>
          <w:p>
            <w:pPr>
              <w:pStyle w:val="null3"/>
              <w:spacing w:before="180"/>
              <w:ind w:left="45" w:right="30" w:firstLine="485"/>
              <w:jc w:val="both"/>
            </w:pPr>
            <w:r>
              <w:rPr>
                <w:rFonts w:ascii="仿宋_GB2312" w:hAnsi="仿宋_GB2312" w:cs="仿宋_GB2312" w:eastAsia="仿宋_GB2312"/>
                <w:sz w:val="20"/>
                <w:color w:val="0000FF"/>
              </w:rPr>
              <w:t>★9.提供适合不同手机阅读的 EPUB 格式热门图书，不少于 3 万种。图书分类包含经典名著、小说传记、经管理财、历史军事、人生哲学、人文社科、生活保健、文学艺术、政治法律等分类。整合 110 万种以上原貌图书，图书支持收藏、下载。</w:t>
            </w:r>
          </w:p>
          <w:p>
            <w:pPr>
              <w:pStyle w:val="null3"/>
              <w:spacing w:before="180"/>
              <w:ind w:left="45" w:right="30" w:firstLine="485"/>
              <w:jc w:val="both"/>
            </w:pPr>
            <w:r>
              <w:rPr>
                <w:rFonts w:ascii="仿宋_GB2312" w:hAnsi="仿宋_GB2312" w:cs="仿宋_GB2312" w:eastAsia="仿宋_GB2312"/>
                <w:sz w:val="20"/>
                <w:color w:val="0000FF"/>
              </w:rPr>
              <w:t>★10.提供适合广大读者学习的经典视频 11000 集，包含清华大学、北京大学、复旦大学等名校的课程视频及讲座，可以在线进行播放。</w:t>
            </w:r>
          </w:p>
          <w:p>
            <w:pPr>
              <w:pStyle w:val="null3"/>
              <w:spacing w:before="180"/>
              <w:ind w:left="45" w:right="30" w:firstLine="485"/>
              <w:jc w:val="both"/>
            </w:pPr>
            <w:r>
              <w:rPr>
                <w:rFonts w:ascii="仿宋_GB2312" w:hAnsi="仿宋_GB2312" w:cs="仿宋_GB2312" w:eastAsia="仿宋_GB2312"/>
                <w:sz w:val="20"/>
                <w:color w:val="0000FF"/>
              </w:rPr>
              <w:t>11.提供不少于 10000 集听书资源。听书资源需提供包含传奇史话、古代历史、人物传记、国学经典、中国文学、世界名著等分类，最多可提供 30 余种分类。</w:t>
            </w:r>
          </w:p>
          <w:p>
            <w:pPr>
              <w:pStyle w:val="null3"/>
              <w:spacing w:before="180"/>
              <w:ind w:left="45" w:right="30" w:firstLine="485"/>
              <w:jc w:val="both"/>
            </w:pPr>
            <w:r>
              <w:rPr>
                <w:rFonts w:ascii="仿宋_GB2312" w:hAnsi="仿宋_GB2312" w:cs="仿宋_GB2312" w:eastAsia="仿宋_GB2312"/>
                <w:sz w:val="20"/>
                <w:color w:val="0000FF"/>
              </w:rPr>
              <w:t>★12.提供文献传递服务，并且接入全国图书馆参考咨询联盟建立的云传递共享平台。中文文献传递满足率达到95%以上。传递的文献能够随时随地打开阅读。</w:t>
            </w:r>
          </w:p>
          <w:p>
            <w:pPr>
              <w:pStyle w:val="null3"/>
              <w:spacing w:before="180"/>
              <w:ind w:left="45" w:right="30" w:firstLine="485"/>
              <w:jc w:val="both"/>
            </w:pPr>
            <w:r>
              <w:rPr>
                <w:rFonts w:ascii="仿宋_GB2312" w:hAnsi="仿宋_GB2312" w:cs="仿宋_GB2312" w:eastAsia="仿宋_GB2312"/>
                <w:sz w:val="20"/>
                <w:color w:val="0000FF"/>
              </w:rPr>
              <w:t>13.移动学术资源模块提供包括图书、章节、期刊、视频、论文等多维度的资源，可进行统一检索，且资源频道提供了导航服务。</w:t>
            </w:r>
          </w:p>
          <w:p>
            <w:pPr>
              <w:pStyle w:val="null3"/>
              <w:spacing w:before="180"/>
              <w:ind w:left="45" w:right="30" w:firstLine="485"/>
              <w:jc w:val="both"/>
            </w:pPr>
            <w:r>
              <w:rPr>
                <w:rFonts w:ascii="仿宋_GB2312" w:hAnsi="仿宋_GB2312" w:cs="仿宋_GB2312" w:eastAsia="仿宋_GB2312"/>
                <w:sz w:val="20"/>
                <w:color w:val="0000FF"/>
              </w:rPr>
              <w:t>14.为读者提供个人空间，可添加图书、视频、期刊、讲座等资源，方便读者查找及阅读。</w:t>
            </w:r>
          </w:p>
          <w:p>
            <w:pPr>
              <w:pStyle w:val="null3"/>
              <w:spacing w:before="180"/>
              <w:ind w:left="45" w:right="30" w:firstLine="485"/>
              <w:jc w:val="both"/>
            </w:pPr>
            <w:r>
              <w:rPr>
                <w:rFonts w:ascii="仿宋_GB2312" w:hAnsi="仿宋_GB2312" w:cs="仿宋_GB2312" w:eastAsia="仿宋_GB2312"/>
                <w:sz w:val="20"/>
                <w:color w:val="0000FF"/>
              </w:rPr>
              <w:t>★15.APP端、小程序端提供作品征集平台，支持上传图片、文字、视频等格式的作品，可设置对作品的投票、点赞、评论等操作权限。</w:t>
            </w:r>
          </w:p>
          <w:p>
            <w:pPr>
              <w:pStyle w:val="null3"/>
              <w:spacing w:before="180"/>
              <w:ind w:left="45" w:right="30" w:firstLine="485"/>
              <w:jc w:val="both"/>
            </w:pPr>
            <w:r>
              <w:rPr>
                <w:rFonts w:ascii="仿宋_GB2312" w:hAnsi="仿宋_GB2312" w:cs="仿宋_GB2312" w:eastAsia="仿宋_GB2312"/>
                <w:sz w:val="20"/>
                <w:color w:val="0000FF"/>
              </w:rPr>
              <w:t>16.手机端支持配置阅读积分大赛，通过看视频、做测评、读经典、观直播等获得积分，进行排行。</w:t>
            </w:r>
          </w:p>
          <w:p>
            <w:pPr>
              <w:pStyle w:val="null3"/>
              <w:spacing w:before="180"/>
              <w:ind w:left="45" w:right="30" w:firstLine="485"/>
              <w:jc w:val="both"/>
            </w:pPr>
            <w:r>
              <w:rPr>
                <w:rFonts w:ascii="仿宋_GB2312" w:hAnsi="仿宋_GB2312" w:cs="仿宋_GB2312" w:eastAsia="仿宋_GB2312"/>
                <w:sz w:val="20"/>
                <w:color w:val="0000FF"/>
              </w:rPr>
              <w:t>★17.APP端、小程序端提供图书共读功能，通过共同阅读一本书深入了解原著，支持打卡、书评、排行。</w:t>
            </w:r>
          </w:p>
          <w:p>
            <w:pPr>
              <w:pStyle w:val="null3"/>
              <w:spacing w:before="180"/>
              <w:ind w:left="45" w:right="30" w:firstLine="485"/>
              <w:jc w:val="both"/>
            </w:pPr>
            <w:r>
              <w:rPr>
                <w:rFonts w:ascii="仿宋_GB2312" w:hAnsi="仿宋_GB2312" w:cs="仿宋_GB2312" w:eastAsia="仿宋_GB2312"/>
                <w:sz w:val="20"/>
                <w:color w:val="0000FF"/>
              </w:rPr>
              <w:t>★18.APP端、小程序端提供知识闯关模块，通过灵活配置的活动规则，答题+阅读的方式调动用户的阅读积极性。</w:t>
            </w:r>
          </w:p>
          <w:p>
            <w:pPr>
              <w:pStyle w:val="null3"/>
              <w:spacing w:before="180"/>
              <w:ind w:left="45" w:right="30" w:firstLine="485"/>
              <w:jc w:val="both"/>
            </w:pPr>
            <w:r>
              <w:rPr>
                <w:rFonts w:ascii="仿宋_GB2312" w:hAnsi="仿宋_GB2312" w:cs="仿宋_GB2312" w:eastAsia="仿宋_GB2312"/>
                <w:sz w:val="20"/>
                <w:color w:val="0000FF"/>
              </w:rPr>
              <w:t>19.APP端、小程序端提供朗读模块，可以生成朗读作品，进行分享。</w:t>
            </w:r>
          </w:p>
          <w:p>
            <w:pPr>
              <w:pStyle w:val="null3"/>
              <w:spacing w:before="180"/>
              <w:ind w:left="45" w:right="30" w:firstLine="485"/>
              <w:jc w:val="both"/>
            </w:pPr>
            <w:r>
              <w:rPr>
                <w:rFonts w:ascii="仿宋_GB2312" w:hAnsi="仿宋_GB2312" w:cs="仿宋_GB2312" w:eastAsia="仿宋_GB2312"/>
                <w:sz w:val="20"/>
                <w:color w:val="0000FF"/>
              </w:rPr>
              <w:t>20.支持对首页资源管理：实现首页图书、期刊、视频、听书等资源的添加、删除。</w:t>
            </w:r>
          </w:p>
          <w:p>
            <w:pPr>
              <w:pStyle w:val="null3"/>
              <w:spacing w:before="180"/>
              <w:ind w:left="45" w:right="30" w:firstLine="485"/>
              <w:jc w:val="both"/>
            </w:pPr>
            <w:r>
              <w:rPr>
                <w:rFonts w:ascii="仿宋_GB2312" w:hAnsi="仿宋_GB2312" w:cs="仿宋_GB2312" w:eastAsia="仿宋_GB2312"/>
                <w:sz w:val="20"/>
                <w:color w:val="0000FF"/>
              </w:rPr>
              <w:t>（二）续订</w:t>
            </w:r>
            <w:r>
              <w:rPr>
                <w:rFonts w:ascii="仿宋_GB2312" w:hAnsi="仿宋_GB2312" w:cs="仿宋_GB2312" w:eastAsia="仿宋_GB2312"/>
                <w:sz w:val="20"/>
                <w:color w:val="0000FF"/>
              </w:rPr>
              <w:t>2026年学术期刊文献数据库</w:t>
            </w:r>
          </w:p>
          <w:p>
            <w:pPr>
              <w:pStyle w:val="null3"/>
              <w:spacing w:before="180"/>
              <w:ind w:left="45" w:right="30" w:firstLine="485"/>
              <w:jc w:val="both"/>
            </w:pPr>
            <w:r>
              <w:rPr>
                <w:rFonts w:ascii="仿宋_GB2312" w:hAnsi="仿宋_GB2312" w:cs="仿宋_GB2312" w:eastAsia="仿宋_GB2312"/>
                <w:sz w:val="20"/>
                <w:color w:val="0000FF"/>
              </w:rPr>
              <w:t>1、产品相关参数</w:t>
            </w:r>
          </w:p>
          <w:p>
            <w:pPr>
              <w:pStyle w:val="null3"/>
              <w:spacing w:before="180"/>
              <w:ind w:left="45" w:right="30" w:firstLine="485"/>
              <w:jc w:val="both"/>
            </w:pPr>
            <w:r>
              <w:rPr>
                <w:rFonts w:ascii="仿宋_GB2312" w:hAnsi="仿宋_GB2312" w:cs="仿宋_GB2312" w:eastAsia="仿宋_GB2312"/>
                <w:sz w:val="20"/>
                <w:color w:val="0000FF"/>
              </w:rPr>
              <w:t>（</w:t>
            </w:r>
            <w:r>
              <w:rPr>
                <w:rFonts w:ascii="仿宋_GB2312" w:hAnsi="仿宋_GB2312" w:cs="仿宋_GB2312" w:eastAsia="仿宋_GB2312"/>
                <w:sz w:val="20"/>
                <w:color w:val="0000FF"/>
              </w:rPr>
              <w:t>1）《中国学术期刊（网络版）》网络连续型出版物于 2015 年8 月获国家主管部门同意出版。至此，停用“中国学术期刊网络出版总库”名称，启用《中国学术期刊（网络版）》刊名。《中国学术期刊（网络版）》是第一部以全文数据库形式大规模集成出版中国学术期刊文献的电子期刊，是国家学术期刊权威性文献检索工具和网络出版平台，基本完整收录了我国的全部学术期刊，覆盖所有学科的内容。该库为国家“十五”、“十一五”国家重大电子与网络出版工程项目，并于2008年获得国家最高出版荣誉奖——“首届中国出版政府奖—网络出版物奖”。该库共分十大专辑出版光盘版和网络版，均有正式出版物号。收录范围：我国公开出版发行的学术期刊（含英文版）全文文献，包括基础与应用基础研究、技术研究、工程研究、工程与项目管理、技术开发、实用工程技术、行业技术发展与评论、高级科普、学科教育教学类期刊。文献总量：截至2026年1月，累计收录8620余种期刊，中文全文文献总量达6490余万篇。其中，收录核心期刊1970余种。2026年计划出版期刊6901种，预计出版总文献量157万余篇。收录年限：1915年至今。期刊文献收录完整率：核心期刊、重要评价性数据库来源期刊完整率高于98%；文献期数收录完整率：文献收录期数完整率高于99％。文献篇数收录完整率：文献篇数收录完整率高于99％。</w:t>
            </w:r>
          </w:p>
          <w:p>
            <w:pPr>
              <w:pStyle w:val="null3"/>
              <w:spacing w:before="180"/>
              <w:ind w:left="45" w:right="30" w:firstLine="485"/>
              <w:jc w:val="both"/>
            </w:pPr>
            <w:r>
              <w:rPr>
                <w:rFonts w:ascii="仿宋_GB2312" w:hAnsi="仿宋_GB2312" w:cs="仿宋_GB2312" w:eastAsia="仿宋_GB2312"/>
                <w:sz w:val="20"/>
                <w:color w:val="0000FF"/>
              </w:rPr>
              <w:t>（</w:t>
            </w:r>
            <w:r>
              <w:rPr>
                <w:rFonts w:ascii="仿宋_GB2312" w:hAnsi="仿宋_GB2312" w:cs="仿宋_GB2312" w:eastAsia="仿宋_GB2312"/>
                <w:sz w:val="20"/>
                <w:color w:val="0000FF"/>
              </w:rPr>
              <w:t>2）《中国博士学位论文全文数据库》是目前国内资源完备、质量上乘、连续动态更新的中国博士学位论文全文数据库，覆盖基础科学、工程技术、农业、医学、哲学、人文、社会科学等各个领域。收录范围：具有博士学位授予权的研究生培养单位的博士学位论文（涉及国家保密的论文除外）。文献总量：截止2025年12月，收录博士学位论文66.1万余篇。2026年计划出版4.8万篇收录年限：从1984年至今的博士学位论文。文献来源完整率：收录来自540余家博士培养单位（涉及国家保密的单位除外）的博士学位论文。“双一流”建设高校覆盖率达到100%。国家重点学科覆盖率达98%，收全率达90%。特色学科覆盖率达100%，收全率90%。文献收录完整率：2018年、2019年、2020年、2021年、2021年、2022年、2024年、2025年博士学位论文出版数量占全国当年可公开出版的博士学位论文总量的85％以上。</w:t>
            </w:r>
          </w:p>
          <w:p>
            <w:pPr>
              <w:pStyle w:val="null3"/>
              <w:spacing w:before="180"/>
              <w:ind w:left="45" w:right="30" w:firstLine="485"/>
              <w:jc w:val="both"/>
            </w:pPr>
            <w:r>
              <w:rPr>
                <w:rFonts w:ascii="仿宋_GB2312" w:hAnsi="仿宋_GB2312" w:cs="仿宋_GB2312" w:eastAsia="仿宋_GB2312"/>
                <w:sz w:val="20"/>
                <w:color w:val="0000FF"/>
              </w:rPr>
              <w:t>（</w:t>
            </w:r>
            <w:r>
              <w:rPr>
                <w:rFonts w:ascii="仿宋_GB2312" w:hAnsi="仿宋_GB2312" w:cs="仿宋_GB2312" w:eastAsia="仿宋_GB2312"/>
                <w:sz w:val="20"/>
                <w:color w:val="0000FF"/>
              </w:rPr>
              <w:t>3）《中国优秀硕士学位论文全文数据库》是目前国内资源完备、质量上乘、连续动态更新的中国硕士学位论文全文数据库，覆盖基础科学、工程技术、农业、医学、哲学、人文、社会科学等各个领域。收录范围：具有硕士学位授予权的研究生培养单位的硕士学位论文。以优先保证文献质量为基本原则。文献总量：截止2025年12月，收录硕士学位论文693万余篇。2026年计划出版52万篇。文献来源完整率：收录来自810余家硕士培养单位（涉及国家保密的单位除外）的硕士学位论文。“双一流 ”建设高校覆盖率达到100%。国家重点学科覆盖率达98%，收全率达90%。特色学科覆盖率达100%，收全率90%。文献收录完整率:2018年、2019年、2020年、2021年、2022年、2023年、2024年、2025年硕士学位论文出版数量占全国当年可公开出版的硕士学位论文总量的85％以上。</w:t>
            </w:r>
          </w:p>
          <w:p>
            <w:pPr>
              <w:pStyle w:val="null3"/>
              <w:spacing w:before="180"/>
              <w:ind w:left="45" w:right="30" w:firstLine="485"/>
              <w:jc w:val="both"/>
            </w:pPr>
            <w:r>
              <w:rPr>
                <w:rFonts w:ascii="仿宋_GB2312" w:hAnsi="仿宋_GB2312" w:cs="仿宋_GB2312" w:eastAsia="仿宋_GB2312"/>
                <w:sz w:val="20"/>
                <w:color w:val="0000FF"/>
              </w:rPr>
              <w:t>（</w:t>
            </w:r>
            <w:r>
              <w:rPr>
                <w:rFonts w:ascii="仿宋_GB2312" w:hAnsi="仿宋_GB2312" w:cs="仿宋_GB2312" w:eastAsia="仿宋_GB2312"/>
                <w:sz w:val="20"/>
                <w:color w:val="0000FF"/>
              </w:rPr>
              <w:t>4）《中国重要会议论文全文数据库》遴选国内一万余家重要会议主办单位或论文汇编单位书面授权投稿的学术会议文献，基本囊括了我国各学科重要会议论文，是我国连续出版重要会议论文的全文数据库。文献来源：高校重点实验室、研究中心及院系主办的学术会议。全国性学会及其分会、专业委员会主办的学术会议或论文评选。全国性行业协会及其分会主办的行业活动或发布的行业报告。地方性学会/协会主办的特色会议（选择性收录）。出版特点：系列化：学术组织举办的重要会议具有固定的周期且连续性召开的特点，系列化出版完整体现了该学科领域不同阶段的热点问题，同时便于读者进行追溯研究。到目前为止，60%的重要会议文献已实现系列化收录，可以为读者提供完整的系列化调研资料。系统化：通过跨库检索、知网节功能与其他文献结合，实现与不同类型文献重新整合。出版授权：签定会议论文出版授权协议书，取得会议主办方或汇编方及论文作者出版授权。收录范围：收录了由国内外近3500余家授权单位推荐的3万余次国内重要学术会议的论文。文献总量：截至2026年1月收录论文298万余篇。2026年计划出版：80000篇。</w:t>
            </w:r>
          </w:p>
          <w:p>
            <w:pPr>
              <w:pStyle w:val="null3"/>
              <w:spacing w:before="180"/>
              <w:ind w:left="45" w:right="30" w:firstLine="485"/>
              <w:jc w:val="both"/>
            </w:pPr>
            <w:r>
              <w:rPr>
                <w:rFonts w:ascii="仿宋_GB2312" w:hAnsi="仿宋_GB2312" w:cs="仿宋_GB2312" w:eastAsia="仿宋_GB2312"/>
                <w:sz w:val="20"/>
                <w:color w:val="0000FF"/>
              </w:rPr>
              <w:t>（</w:t>
            </w:r>
            <w:r>
              <w:rPr>
                <w:rFonts w:ascii="仿宋_GB2312" w:hAnsi="仿宋_GB2312" w:cs="仿宋_GB2312" w:eastAsia="仿宋_GB2312"/>
                <w:sz w:val="20"/>
                <w:color w:val="0000FF"/>
              </w:rPr>
              <w:t>5）《中国精品文艺作品期刊文献库》择优收录我国正式出版发行的文艺类期刊，并以篇为单元收录其他期刊发表的同类文献，是面向社会大众和各类机构，以集成化网络出版方式传播文艺作品的全文数据库。它采用了适合于检索各类体裁的文艺作品的元数据框架，经过专门加工，提供适用的检索系统。《文艺作品期刊文献库》充分满足读者的各种个性化服务需求，形成大众读者的欣赏交流平台，可支持专业人员阅读、鉴赏、学习。并采用全数字化信息加工技术，支持数字资源战略馆藏建设。文献来源：文学、书画、摄影、影视等文艺类优秀期刊及其他刊物中的同类作品。收录年限：1979年至今（部分优秀期刊回溯至创刊）。出版计划：2026年计划出版文艺类期刊217种，共计文献6万篇。</w:t>
            </w:r>
          </w:p>
          <w:p>
            <w:pPr>
              <w:pStyle w:val="null3"/>
              <w:spacing w:before="180"/>
              <w:ind w:left="45" w:right="30" w:firstLine="485"/>
              <w:jc w:val="both"/>
            </w:pPr>
            <w:r>
              <w:rPr>
                <w:rFonts w:ascii="仿宋_GB2312" w:hAnsi="仿宋_GB2312" w:cs="仿宋_GB2312" w:eastAsia="仿宋_GB2312"/>
                <w:sz w:val="20"/>
                <w:color w:val="0000FF"/>
              </w:rPr>
              <w:t>2.资质与版权要求：</w:t>
            </w:r>
          </w:p>
          <w:p>
            <w:pPr>
              <w:pStyle w:val="null3"/>
              <w:spacing w:before="180"/>
              <w:ind w:left="45" w:right="30" w:firstLine="485"/>
              <w:jc w:val="both"/>
            </w:pPr>
            <w:r>
              <w:rPr>
                <w:rFonts w:ascii="仿宋_GB2312" w:hAnsi="仿宋_GB2312" w:cs="仿宋_GB2312" w:eastAsia="仿宋_GB2312"/>
                <w:sz w:val="20"/>
                <w:color w:val="0000FF"/>
              </w:rPr>
              <w:t>（</w:t>
            </w:r>
            <w:r>
              <w:rPr>
                <w:rFonts w:ascii="仿宋_GB2312" w:hAnsi="仿宋_GB2312" w:cs="仿宋_GB2312" w:eastAsia="仿宋_GB2312"/>
                <w:sz w:val="20"/>
                <w:color w:val="0000FF"/>
              </w:rPr>
              <w:t>1）供应商提供的所有资源必须为正版且彻底解决版权，数据来源合理合法，所有内容均为自有产品或者有销售该产品的合法授权。所提供数据不得是通过破解，盗窃他人数据等非法手段而来。保证校方今后电子资源的使用不受侵权问题的干扰。</w:t>
            </w:r>
          </w:p>
          <w:p>
            <w:pPr>
              <w:pStyle w:val="null3"/>
              <w:spacing w:before="180"/>
              <w:ind w:left="45" w:right="30" w:firstLine="485"/>
              <w:jc w:val="both"/>
            </w:pPr>
            <w:r>
              <w:rPr>
                <w:rFonts w:ascii="仿宋_GB2312" w:hAnsi="仿宋_GB2312" w:cs="仿宋_GB2312" w:eastAsia="仿宋_GB2312"/>
                <w:sz w:val="20"/>
                <w:color w:val="0000FF"/>
              </w:rPr>
              <w:t>（</w:t>
            </w:r>
            <w:r>
              <w:rPr>
                <w:rFonts w:ascii="仿宋_GB2312" w:hAnsi="仿宋_GB2312" w:cs="仿宋_GB2312" w:eastAsia="仿宋_GB2312"/>
                <w:sz w:val="20"/>
                <w:color w:val="0000FF"/>
              </w:rPr>
              <w:t>2）供应商应具有互联网出版资质，且提供的期刊、博士、硕士、会议、资源须具备正式出版物标准刊号。</w:t>
            </w:r>
          </w:p>
          <w:p>
            <w:pPr>
              <w:pStyle w:val="null3"/>
              <w:spacing w:before="180"/>
              <w:ind w:left="45" w:right="30" w:firstLine="485"/>
              <w:jc w:val="both"/>
            </w:pPr>
            <w:r>
              <w:rPr>
                <w:rFonts w:ascii="仿宋_GB2312" w:hAnsi="仿宋_GB2312" w:cs="仿宋_GB2312" w:eastAsia="仿宋_GB2312"/>
                <w:sz w:val="20"/>
                <w:color w:val="0000FF"/>
              </w:rPr>
              <w:t>（</w:t>
            </w:r>
            <w:r>
              <w:rPr>
                <w:rFonts w:ascii="仿宋_GB2312" w:hAnsi="仿宋_GB2312" w:cs="仿宋_GB2312" w:eastAsia="仿宋_GB2312"/>
                <w:sz w:val="20"/>
                <w:color w:val="0000FF"/>
              </w:rPr>
              <w:t>3）供应商能够保证学校对所购买的所有内容拥有永久的使用权，可以进行下载、打印、复制等操作。</w:t>
            </w:r>
          </w:p>
          <w:p>
            <w:pPr>
              <w:pStyle w:val="null3"/>
              <w:spacing w:before="180"/>
              <w:ind w:left="45" w:right="30" w:firstLine="485"/>
              <w:jc w:val="both"/>
            </w:pPr>
            <w:r>
              <w:rPr>
                <w:rFonts w:ascii="仿宋_GB2312" w:hAnsi="仿宋_GB2312" w:cs="仿宋_GB2312" w:eastAsia="仿宋_GB2312"/>
                <w:sz w:val="20"/>
                <w:color w:val="0000FF"/>
              </w:rPr>
              <w:t>3.产品技术要求：</w:t>
            </w:r>
          </w:p>
          <w:p>
            <w:pPr>
              <w:pStyle w:val="null3"/>
              <w:spacing w:before="180"/>
              <w:ind w:left="45" w:right="30" w:firstLine="485"/>
              <w:jc w:val="both"/>
            </w:pPr>
            <w:r>
              <w:rPr>
                <w:rFonts w:ascii="仿宋_GB2312" w:hAnsi="仿宋_GB2312" w:cs="仿宋_GB2312" w:eastAsia="仿宋_GB2312"/>
                <w:sz w:val="20"/>
                <w:color w:val="0000FF"/>
              </w:rPr>
              <w:t>（</w:t>
            </w:r>
            <w:r>
              <w:rPr>
                <w:rFonts w:ascii="仿宋_GB2312" w:hAnsi="仿宋_GB2312" w:cs="仿宋_GB2312" w:eastAsia="仿宋_GB2312"/>
                <w:sz w:val="20"/>
                <w:color w:val="0000FF"/>
              </w:rPr>
              <w:t>1）所列的全文数据库内容能够在统一的平台上进行检索，相互之间可以实现知网节链接，并且可以和以往年度订购的CNKI系列数据库资源内容统一使用。</w:t>
            </w:r>
          </w:p>
          <w:p>
            <w:pPr>
              <w:pStyle w:val="null3"/>
              <w:spacing w:before="180"/>
              <w:ind w:left="45" w:right="30" w:firstLine="485"/>
              <w:jc w:val="both"/>
            </w:pPr>
            <w:r>
              <w:rPr>
                <w:rFonts w:ascii="仿宋_GB2312" w:hAnsi="仿宋_GB2312" w:cs="仿宋_GB2312" w:eastAsia="仿宋_GB2312"/>
                <w:sz w:val="20"/>
                <w:color w:val="0000FF"/>
              </w:rPr>
              <w:t>（</w:t>
            </w:r>
            <w:r>
              <w:rPr>
                <w:rFonts w:ascii="仿宋_GB2312" w:hAnsi="仿宋_GB2312" w:cs="仿宋_GB2312" w:eastAsia="仿宋_GB2312"/>
                <w:sz w:val="20"/>
                <w:color w:val="0000FF"/>
              </w:rPr>
              <w:t>2）更新：网上日更新。网络出版时滞不超过纸质出版2个月。</w:t>
            </w:r>
          </w:p>
          <w:p>
            <w:pPr>
              <w:pStyle w:val="null3"/>
              <w:spacing w:before="180"/>
              <w:ind w:left="45" w:right="30" w:firstLine="485"/>
              <w:jc w:val="both"/>
            </w:pPr>
            <w:r>
              <w:rPr>
                <w:rFonts w:ascii="仿宋_GB2312" w:hAnsi="仿宋_GB2312" w:cs="仿宋_GB2312" w:eastAsia="仿宋_GB2312"/>
                <w:sz w:val="20"/>
                <w:color w:val="0000FF"/>
              </w:rPr>
              <w:t>（</w:t>
            </w:r>
            <w:r>
              <w:rPr>
                <w:rFonts w:ascii="仿宋_GB2312" w:hAnsi="仿宋_GB2312" w:cs="仿宋_GB2312" w:eastAsia="仿宋_GB2312"/>
                <w:sz w:val="20"/>
                <w:color w:val="0000FF"/>
              </w:rPr>
              <w:t>3）数据库能提供完善的用户访问统计和控制功能,并由用户自己随时在后台进行。</w:t>
            </w:r>
          </w:p>
          <w:p>
            <w:pPr>
              <w:pStyle w:val="null3"/>
              <w:spacing w:before="180"/>
              <w:ind w:left="45" w:right="30" w:firstLine="485"/>
              <w:jc w:val="both"/>
            </w:pPr>
            <w:r>
              <w:rPr>
                <w:rFonts w:ascii="仿宋_GB2312" w:hAnsi="仿宋_GB2312" w:cs="仿宋_GB2312" w:eastAsia="仿宋_GB2312"/>
                <w:sz w:val="20"/>
                <w:color w:val="0000FF"/>
              </w:rPr>
              <w:t>（</w:t>
            </w:r>
            <w:r>
              <w:rPr>
                <w:rFonts w:ascii="仿宋_GB2312" w:hAnsi="仿宋_GB2312" w:cs="仿宋_GB2312" w:eastAsia="仿宋_GB2312"/>
                <w:sz w:val="20"/>
                <w:color w:val="0000FF"/>
              </w:rPr>
              <w:t>4）数据库能提供完善的访问量（日志）统计功能，能按访问总数，检索、浏览、下载分别进行统计，能够按学科专辑专题进行分类统计，能够按时间进行统计。</w:t>
            </w:r>
          </w:p>
          <w:p>
            <w:pPr>
              <w:pStyle w:val="null3"/>
              <w:spacing w:before="180"/>
              <w:ind w:left="45" w:right="30" w:firstLine="485"/>
              <w:jc w:val="both"/>
            </w:pPr>
            <w:r>
              <w:rPr>
                <w:rFonts w:ascii="仿宋_GB2312" w:hAnsi="仿宋_GB2312" w:cs="仿宋_GB2312" w:eastAsia="仿宋_GB2312"/>
                <w:sz w:val="20"/>
                <w:color w:val="0000FF"/>
              </w:rPr>
              <w:t>（</w:t>
            </w:r>
            <w:r>
              <w:rPr>
                <w:rFonts w:ascii="仿宋_GB2312" w:hAnsi="仿宋_GB2312" w:cs="仿宋_GB2312" w:eastAsia="仿宋_GB2312"/>
                <w:sz w:val="20"/>
                <w:color w:val="0000FF"/>
              </w:rPr>
              <w:t>5）要求系统平台具有完善的可升级与扩展功能，升级方式方便（如可通过网络自动检测升级）。</w:t>
            </w:r>
          </w:p>
          <w:p>
            <w:pPr>
              <w:pStyle w:val="null3"/>
              <w:spacing w:before="180"/>
              <w:ind w:left="45" w:right="30" w:firstLine="485"/>
              <w:jc w:val="both"/>
            </w:pPr>
            <w:r>
              <w:rPr>
                <w:rFonts w:ascii="仿宋_GB2312" w:hAnsi="仿宋_GB2312" w:cs="仿宋_GB2312" w:eastAsia="仿宋_GB2312"/>
                <w:sz w:val="20"/>
                <w:color w:val="0000FF"/>
              </w:rPr>
              <w:t>（</w:t>
            </w:r>
            <w:r>
              <w:rPr>
                <w:rFonts w:ascii="仿宋_GB2312" w:hAnsi="仿宋_GB2312" w:cs="仿宋_GB2312" w:eastAsia="仿宋_GB2312"/>
                <w:sz w:val="20"/>
                <w:color w:val="0000FF"/>
              </w:rPr>
              <w:t>6）要求能够提供移动端APP，并能免费在移动端使用已订购大部分内容。</w:t>
            </w:r>
          </w:p>
          <w:p>
            <w:pPr>
              <w:pStyle w:val="null3"/>
              <w:spacing w:before="180"/>
              <w:ind w:left="45" w:right="30" w:firstLine="485"/>
              <w:jc w:val="both"/>
            </w:pPr>
            <w:r>
              <w:rPr>
                <w:rFonts w:ascii="仿宋_GB2312" w:hAnsi="仿宋_GB2312" w:cs="仿宋_GB2312" w:eastAsia="仿宋_GB2312"/>
                <w:sz w:val="20"/>
                <w:color w:val="0000FF"/>
              </w:rPr>
              <w:t>（</w:t>
            </w:r>
            <w:r>
              <w:rPr>
                <w:rFonts w:ascii="仿宋_GB2312" w:hAnsi="仿宋_GB2312" w:cs="仿宋_GB2312" w:eastAsia="仿宋_GB2312"/>
                <w:sz w:val="20"/>
                <w:color w:val="0000FF"/>
              </w:rPr>
              <w:t>7）要求</w:t>
            </w:r>
            <w:r>
              <w:rPr>
                <w:rFonts w:ascii="仿宋_GB2312" w:hAnsi="仿宋_GB2312" w:cs="仿宋_GB2312" w:eastAsia="仿宋_GB2312"/>
                <w:sz w:val="20"/>
                <w:color w:val="0000FF"/>
              </w:rPr>
              <w:t>供应</w:t>
            </w:r>
            <w:r>
              <w:rPr>
                <w:rFonts w:ascii="仿宋_GB2312" w:hAnsi="仿宋_GB2312" w:cs="仿宋_GB2312" w:eastAsia="仿宋_GB2312"/>
                <w:sz w:val="20"/>
                <w:color w:val="0000FF"/>
              </w:rPr>
              <w:t>商能够提供校外漫游服务，并提供</w:t>
            </w:r>
            <w:r>
              <w:rPr>
                <w:rFonts w:ascii="仿宋_GB2312" w:hAnsi="仿宋_GB2312" w:cs="仿宋_GB2312" w:eastAsia="仿宋_GB2312"/>
                <w:sz w:val="20"/>
                <w:color w:val="0000FF"/>
              </w:rPr>
              <w:t>50个漫游账号。</w:t>
            </w:r>
          </w:p>
          <w:p>
            <w:pPr>
              <w:pStyle w:val="null3"/>
              <w:spacing w:before="180"/>
              <w:ind w:left="45" w:right="30" w:firstLine="485"/>
              <w:jc w:val="both"/>
            </w:pPr>
            <w:r>
              <w:rPr>
                <w:rFonts w:ascii="仿宋_GB2312" w:hAnsi="仿宋_GB2312" w:cs="仿宋_GB2312" w:eastAsia="仿宋_GB2312"/>
                <w:sz w:val="20"/>
                <w:color w:val="0000FF"/>
              </w:rPr>
              <w:t>（</w:t>
            </w:r>
            <w:r>
              <w:rPr>
                <w:rFonts w:ascii="仿宋_GB2312" w:hAnsi="仿宋_GB2312" w:cs="仿宋_GB2312" w:eastAsia="仿宋_GB2312"/>
                <w:sz w:val="20"/>
                <w:color w:val="0000FF"/>
              </w:rPr>
              <w:t>8）系统能提供完备的检索功能，且对检索结果可以按照需要进行聚类和排序。</w:t>
            </w:r>
          </w:p>
          <w:p>
            <w:pPr>
              <w:pStyle w:val="null3"/>
              <w:spacing w:before="180"/>
              <w:ind w:left="45" w:right="30" w:firstLine="485"/>
              <w:jc w:val="both"/>
            </w:pPr>
            <w:r>
              <w:rPr>
                <w:rFonts w:ascii="仿宋_GB2312" w:hAnsi="仿宋_GB2312" w:cs="仿宋_GB2312" w:eastAsia="仿宋_GB2312"/>
                <w:sz w:val="20"/>
                <w:color w:val="0000FF"/>
              </w:rPr>
              <w:t>（</w:t>
            </w:r>
            <w:r>
              <w:rPr>
                <w:rFonts w:ascii="仿宋_GB2312" w:hAnsi="仿宋_GB2312" w:cs="仿宋_GB2312" w:eastAsia="仿宋_GB2312"/>
                <w:sz w:val="20"/>
                <w:color w:val="0000FF"/>
              </w:rPr>
              <w:t>9）能够综合运用多种文献内容关联方法建立文献间关联体系，提供单篇文献详细信息和扩展信息，形成完善的知识网络，提供链接检索。链接检索应当包括以下功能：文献详细信息、参考文献链接、引证文献链接、共引文献链接、二级参考文献链接、二级引证文献链接、相似文献链接、读者推荐文献链接、相关文献作者链接、相关文献机构链接。</w:t>
            </w:r>
          </w:p>
          <w:p>
            <w:pPr>
              <w:pStyle w:val="null3"/>
              <w:spacing w:before="180"/>
              <w:ind w:left="45" w:right="30" w:firstLine="485"/>
              <w:jc w:val="both"/>
            </w:pPr>
            <w:r>
              <w:rPr>
                <w:rFonts w:ascii="仿宋_GB2312" w:hAnsi="仿宋_GB2312" w:cs="仿宋_GB2312" w:eastAsia="仿宋_GB2312"/>
                <w:sz w:val="20"/>
                <w:color w:val="0000FF"/>
              </w:rPr>
              <w:t>（</w:t>
            </w:r>
            <w:r>
              <w:rPr>
                <w:rFonts w:ascii="仿宋_GB2312" w:hAnsi="仿宋_GB2312" w:cs="仿宋_GB2312" w:eastAsia="仿宋_GB2312"/>
                <w:sz w:val="20"/>
                <w:color w:val="0000FF"/>
              </w:rPr>
              <w:t>10）提供多级目录导航，能够快速定位到页。</w:t>
            </w:r>
          </w:p>
          <w:p>
            <w:pPr>
              <w:pStyle w:val="null3"/>
              <w:spacing w:before="180"/>
              <w:ind w:left="45" w:right="30" w:firstLine="485"/>
              <w:jc w:val="both"/>
            </w:pPr>
            <w:r>
              <w:rPr>
                <w:rFonts w:ascii="仿宋_GB2312" w:hAnsi="仿宋_GB2312" w:cs="仿宋_GB2312" w:eastAsia="仿宋_GB2312"/>
                <w:sz w:val="20"/>
                <w:color w:val="0000FF"/>
              </w:rPr>
              <w:t>（</w:t>
            </w:r>
            <w:r>
              <w:rPr>
                <w:rFonts w:ascii="仿宋_GB2312" w:hAnsi="仿宋_GB2312" w:cs="仿宋_GB2312" w:eastAsia="仿宋_GB2312"/>
                <w:sz w:val="20"/>
                <w:color w:val="0000FF"/>
              </w:rPr>
              <w:t>11）全文信息完全的数字化，免费提供具有自主知识产权的阅读软件，能够实现期刊论文原始版面结构与样式不失真的显示与打印。</w:t>
            </w:r>
          </w:p>
          <w:p>
            <w:pPr>
              <w:pStyle w:val="null3"/>
              <w:spacing w:before="180"/>
              <w:ind w:left="45" w:right="30" w:firstLine="485"/>
              <w:jc w:val="both"/>
            </w:pPr>
            <w:r>
              <w:rPr>
                <w:rFonts w:ascii="仿宋_GB2312" w:hAnsi="仿宋_GB2312" w:cs="仿宋_GB2312" w:eastAsia="仿宋_GB2312"/>
                <w:sz w:val="20"/>
                <w:color w:val="0000FF"/>
              </w:rPr>
              <w:t>（</w:t>
            </w:r>
            <w:r>
              <w:rPr>
                <w:rFonts w:ascii="仿宋_GB2312" w:hAnsi="仿宋_GB2312" w:cs="仿宋_GB2312" w:eastAsia="仿宋_GB2312"/>
                <w:sz w:val="20"/>
                <w:color w:val="0000FF"/>
              </w:rPr>
              <w:t>12）数据格式：自定义CAJ加密格式同时支持PDF格式。对于图像格式能实现OCR识别转文本。</w:t>
            </w:r>
          </w:p>
          <w:p>
            <w:pPr>
              <w:pStyle w:val="null3"/>
              <w:spacing w:before="180"/>
              <w:ind w:left="45" w:right="30" w:firstLine="485"/>
              <w:jc w:val="both"/>
            </w:pPr>
            <w:r>
              <w:rPr>
                <w:rFonts w:ascii="仿宋_GB2312" w:hAnsi="仿宋_GB2312" w:cs="仿宋_GB2312" w:eastAsia="仿宋_GB2312"/>
                <w:sz w:val="20"/>
                <w:color w:val="0000FF"/>
              </w:rPr>
              <w:t>（</w:t>
            </w:r>
            <w:r>
              <w:rPr>
                <w:rFonts w:ascii="仿宋_GB2312" w:hAnsi="仿宋_GB2312" w:cs="仿宋_GB2312" w:eastAsia="仿宋_GB2312"/>
                <w:sz w:val="20"/>
                <w:color w:val="0000FF"/>
              </w:rPr>
              <w:t>13）产品数据加工质量。</w:t>
            </w:r>
          </w:p>
          <w:tbl>
            <w:tblPr>
              <w:tblInd w:type="dxa" w:w="240"/>
              <w:tblBorders>
                <w:top w:val="none" w:color="000000" w:sz="4"/>
                <w:left w:val="none" w:color="000000" w:sz="4"/>
                <w:bottom w:val="none" w:color="000000" w:sz="4"/>
                <w:right w:val="none" w:color="000000" w:sz="4"/>
                <w:insideH w:val="none"/>
                <w:insideV w:val="none"/>
              </w:tblBorders>
            </w:tblPr>
            <w:tblGrid>
              <w:gridCol w:w="382"/>
              <w:gridCol w:w="335"/>
              <w:gridCol w:w="347"/>
              <w:gridCol w:w="812"/>
              <w:gridCol w:w="676"/>
            </w:tblGrid>
            <w:tr>
              <w:tc>
                <w:tcPr>
                  <w:tcW w:type="dxa" w:w="1876"/>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项目</w:t>
                  </w:r>
                </w:p>
              </w:tc>
              <w:tc>
                <w:tcPr>
                  <w:tcW w:type="dxa" w:w="6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指标</w:t>
                  </w:r>
                </w:p>
              </w:tc>
            </w:tr>
            <w:tr>
              <w:tc>
                <w:tcPr>
                  <w:tcW w:type="dxa" w:w="3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资源</w:t>
                  </w:r>
                </w:p>
                <w:p>
                  <w:pPr>
                    <w:pStyle w:val="null3"/>
                    <w:jc w:val="center"/>
                  </w:pPr>
                  <w:r>
                    <w:rPr>
                      <w:rFonts w:ascii="仿宋_GB2312" w:hAnsi="仿宋_GB2312" w:cs="仿宋_GB2312" w:eastAsia="仿宋_GB2312"/>
                      <w:sz w:val="20"/>
                      <w:color w:val="0000FF"/>
                    </w:rPr>
                    <w:t>加工</w:t>
                  </w:r>
                </w:p>
              </w:tc>
              <w:tc>
                <w:tcPr>
                  <w:tcW w:type="dxa" w:w="33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著录</w:t>
                  </w:r>
                </w:p>
                <w:p>
                  <w:pPr>
                    <w:pStyle w:val="null3"/>
                    <w:jc w:val="center"/>
                  </w:pPr>
                </w:p>
              </w:tc>
              <w:tc>
                <w:tcPr>
                  <w:tcW w:type="dxa" w:w="1159"/>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串域、漏标、多标等错误</w:t>
                  </w:r>
                </w:p>
              </w:tc>
              <w:tc>
                <w:tcPr>
                  <w:tcW w:type="dxa" w:w="6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小于</w:t>
                  </w:r>
                  <w:r>
                    <w:rPr>
                      <w:rFonts w:ascii="仿宋_GB2312" w:hAnsi="仿宋_GB2312" w:cs="仿宋_GB2312" w:eastAsia="仿宋_GB2312"/>
                      <w:sz w:val="20"/>
                      <w:color w:val="0000FF"/>
                    </w:rPr>
                    <w:t>0.5‰</w:t>
                  </w:r>
                </w:p>
              </w:tc>
            </w:tr>
            <w:tr>
              <w:tc>
                <w:tcPr>
                  <w:tcW w:type="dxa" w:w="382"/>
                  <w:vMerge/>
                  <w:tcBorders>
                    <w:top w:val="none" w:color="000000" w:sz="4"/>
                    <w:left w:val="single" w:color="000000" w:sz="4"/>
                    <w:bottom w:val="single" w:color="000000" w:sz="4"/>
                    <w:right w:val="single" w:color="000000" w:sz="4"/>
                  </w:tcBorders>
                </w:tcPr>
                <w:p/>
              </w:tc>
              <w:tc>
                <w:tcPr>
                  <w:tcW w:type="dxa" w:w="335"/>
                  <w:vMerge/>
                  <w:tcBorders>
                    <w:top w:val="none" w:color="000000" w:sz="4"/>
                    <w:left w:val="none" w:color="000000" w:sz="4"/>
                    <w:bottom w:val="single" w:color="000000" w:sz="4"/>
                    <w:right w:val="single" w:color="000000" w:sz="4"/>
                  </w:tcBorders>
                </w:tcPr>
                <w:p/>
              </w:tc>
              <w:tc>
                <w:tcPr>
                  <w:tcW w:type="dxa" w:w="115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中文题名著录文字错误率</w:t>
                  </w: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小于</w:t>
                  </w:r>
                  <w:r>
                    <w:rPr>
                      <w:rFonts w:ascii="仿宋_GB2312" w:hAnsi="仿宋_GB2312" w:cs="仿宋_GB2312" w:eastAsia="仿宋_GB2312"/>
                      <w:sz w:val="20"/>
                      <w:color w:val="0000FF"/>
                    </w:rPr>
                    <w:t>0.5‰</w:t>
                  </w:r>
                </w:p>
              </w:tc>
            </w:tr>
            <w:tr>
              <w:tc>
                <w:tcPr>
                  <w:tcW w:type="dxa" w:w="382"/>
                  <w:vMerge/>
                  <w:tcBorders>
                    <w:top w:val="none" w:color="000000" w:sz="4"/>
                    <w:left w:val="single" w:color="000000" w:sz="4"/>
                    <w:bottom w:val="single" w:color="000000" w:sz="4"/>
                    <w:right w:val="single" w:color="000000" w:sz="4"/>
                  </w:tcBorders>
                </w:tcPr>
                <w:p/>
              </w:tc>
              <w:tc>
                <w:tcPr>
                  <w:tcW w:type="dxa" w:w="335"/>
                  <w:vMerge/>
                  <w:tcBorders>
                    <w:top w:val="none" w:color="000000" w:sz="4"/>
                    <w:left w:val="none" w:color="000000" w:sz="4"/>
                    <w:bottom w:val="single" w:color="000000" w:sz="4"/>
                    <w:right w:val="single" w:color="000000" w:sz="4"/>
                  </w:tcBorders>
                </w:tcPr>
                <w:p/>
              </w:tc>
              <w:tc>
                <w:tcPr>
                  <w:tcW w:type="dxa" w:w="115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其他语种题名著录文字错误率</w:t>
                  </w: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小于</w:t>
                  </w:r>
                  <w:r>
                    <w:rPr>
                      <w:rFonts w:ascii="仿宋_GB2312" w:hAnsi="仿宋_GB2312" w:cs="仿宋_GB2312" w:eastAsia="仿宋_GB2312"/>
                      <w:sz w:val="20"/>
                      <w:color w:val="0000FF"/>
                    </w:rPr>
                    <w:t>0.8‰</w:t>
                  </w:r>
                </w:p>
              </w:tc>
            </w:tr>
            <w:tr>
              <w:tc>
                <w:tcPr>
                  <w:tcW w:type="dxa" w:w="382"/>
                  <w:vMerge/>
                  <w:tcBorders>
                    <w:top w:val="none" w:color="000000" w:sz="4"/>
                    <w:left w:val="single" w:color="000000" w:sz="4"/>
                    <w:bottom w:val="single" w:color="000000" w:sz="4"/>
                    <w:right w:val="single" w:color="000000" w:sz="4"/>
                  </w:tcBorders>
                </w:tcPr>
                <w:p/>
              </w:tc>
              <w:tc>
                <w:tcPr>
                  <w:tcW w:type="dxa" w:w="335"/>
                  <w:vMerge/>
                  <w:tcBorders>
                    <w:top w:val="none" w:color="000000" w:sz="4"/>
                    <w:left w:val="none" w:color="000000" w:sz="4"/>
                    <w:bottom w:val="single" w:color="000000" w:sz="4"/>
                    <w:right w:val="single" w:color="000000" w:sz="4"/>
                  </w:tcBorders>
                </w:tcPr>
                <w:p/>
              </w:tc>
              <w:tc>
                <w:tcPr>
                  <w:tcW w:type="dxa" w:w="115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中文摘要、英文摘要著录文字错误率</w:t>
                  </w: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小于</w:t>
                  </w:r>
                  <w:r>
                    <w:rPr>
                      <w:rFonts w:ascii="仿宋_GB2312" w:hAnsi="仿宋_GB2312" w:cs="仿宋_GB2312" w:eastAsia="仿宋_GB2312"/>
                      <w:sz w:val="20"/>
                      <w:color w:val="0000FF"/>
                    </w:rPr>
                    <w:t>0.5‰</w:t>
                  </w:r>
                </w:p>
              </w:tc>
            </w:tr>
            <w:tr>
              <w:tc>
                <w:tcPr>
                  <w:tcW w:type="dxa" w:w="382"/>
                  <w:vMerge/>
                  <w:tcBorders>
                    <w:top w:val="none" w:color="000000" w:sz="4"/>
                    <w:left w:val="single" w:color="000000" w:sz="4"/>
                    <w:bottom w:val="single" w:color="000000" w:sz="4"/>
                    <w:right w:val="single" w:color="000000" w:sz="4"/>
                  </w:tcBorders>
                </w:tcPr>
                <w:p/>
              </w:tc>
              <w:tc>
                <w:tcPr>
                  <w:tcW w:type="dxa" w:w="335"/>
                  <w:vMerge/>
                  <w:tcBorders>
                    <w:top w:val="none" w:color="000000" w:sz="4"/>
                    <w:left w:val="none" w:color="000000" w:sz="4"/>
                    <w:bottom w:val="single" w:color="000000" w:sz="4"/>
                    <w:right w:val="single" w:color="000000" w:sz="4"/>
                  </w:tcBorders>
                </w:tcPr>
                <w:p/>
              </w:tc>
              <w:tc>
                <w:tcPr>
                  <w:tcW w:type="dxa" w:w="115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基金著录文字错误率</w:t>
                  </w: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小于</w:t>
                  </w:r>
                  <w:r>
                    <w:rPr>
                      <w:rFonts w:ascii="仿宋_GB2312" w:hAnsi="仿宋_GB2312" w:cs="仿宋_GB2312" w:eastAsia="仿宋_GB2312"/>
                      <w:sz w:val="20"/>
                      <w:color w:val="0000FF"/>
                    </w:rPr>
                    <w:t>0.5‰</w:t>
                  </w:r>
                </w:p>
              </w:tc>
            </w:tr>
            <w:tr>
              <w:tc>
                <w:tcPr>
                  <w:tcW w:type="dxa" w:w="382"/>
                  <w:vMerge/>
                  <w:tcBorders>
                    <w:top w:val="none" w:color="000000" w:sz="4"/>
                    <w:left w:val="single" w:color="000000" w:sz="4"/>
                    <w:bottom w:val="single" w:color="000000" w:sz="4"/>
                    <w:right w:val="single" w:color="000000" w:sz="4"/>
                  </w:tcBorders>
                </w:tcPr>
                <w:p/>
              </w:tc>
              <w:tc>
                <w:tcPr>
                  <w:tcW w:type="dxa" w:w="335"/>
                  <w:vMerge/>
                  <w:tcBorders>
                    <w:top w:val="none" w:color="000000" w:sz="4"/>
                    <w:left w:val="none" w:color="000000" w:sz="4"/>
                    <w:bottom w:val="single" w:color="000000" w:sz="4"/>
                    <w:right w:val="single" w:color="000000" w:sz="4"/>
                  </w:tcBorders>
                </w:tcPr>
                <w:p/>
              </w:tc>
              <w:tc>
                <w:tcPr>
                  <w:tcW w:type="dxa" w:w="3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扫</w:t>
                  </w:r>
                </w:p>
                <w:p>
                  <w:pPr>
                    <w:pStyle w:val="null3"/>
                    <w:jc w:val="center"/>
                  </w:pPr>
                  <w:r>
                    <w:rPr>
                      <w:rFonts w:ascii="仿宋_GB2312" w:hAnsi="仿宋_GB2312" w:cs="仿宋_GB2312" w:eastAsia="仿宋_GB2312"/>
                      <w:sz w:val="20"/>
                      <w:color w:val="0000FF"/>
                    </w:rPr>
                    <w:t>描</w:t>
                  </w:r>
                </w:p>
                <w:p>
                  <w:pPr>
                    <w:pStyle w:val="null3"/>
                    <w:jc w:val="center"/>
                  </w:pPr>
                  <w:r>
                    <w:rPr>
                      <w:rFonts w:ascii="仿宋_GB2312" w:hAnsi="仿宋_GB2312" w:cs="仿宋_GB2312" w:eastAsia="仿宋_GB2312"/>
                      <w:sz w:val="20"/>
                      <w:color w:val="0000FF"/>
                    </w:rPr>
                    <w:t>版</w:t>
                  </w:r>
                </w:p>
                <w:p>
                  <w:pPr>
                    <w:pStyle w:val="null3"/>
                    <w:jc w:val="center"/>
                  </w:pPr>
                  <w:r>
                    <w:rPr>
                      <w:rFonts w:ascii="仿宋_GB2312" w:hAnsi="仿宋_GB2312" w:cs="仿宋_GB2312" w:eastAsia="仿宋_GB2312"/>
                      <w:sz w:val="20"/>
                      <w:color w:val="0000FF"/>
                    </w:rPr>
                    <w:t>数</w:t>
                  </w:r>
                </w:p>
                <w:p>
                  <w:pPr>
                    <w:pStyle w:val="null3"/>
                    <w:jc w:val="center"/>
                  </w:pPr>
                  <w:r>
                    <w:rPr>
                      <w:rFonts w:ascii="仿宋_GB2312" w:hAnsi="仿宋_GB2312" w:cs="仿宋_GB2312" w:eastAsia="仿宋_GB2312"/>
                      <w:sz w:val="20"/>
                      <w:color w:val="0000FF"/>
                    </w:rPr>
                    <w:t>据</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篇名、作者文字错误率</w:t>
                  </w:r>
                </w:p>
              </w:tc>
              <w:tc>
                <w:tcPr>
                  <w:tcW w:type="dxa" w:w="6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小于</w:t>
                  </w:r>
                  <w:r>
                    <w:rPr>
                      <w:rFonts w:ascii="仿宋_GB2312" w:hAnsi="仿宋_GB2312" w:cs="仿宋_GB2312" w:eastAsia="仿宋_GB2312"/>
                      <w:sz w:val="20"/>
                      <w:color w:val="0000FF"/>
                    </w:rPr>
                    <w:t>0.5‰</w:t>
                  </w:r>
                </w:p>
              </w:tc>
            </w:tr>
            <w:tr>
              <w:tc>
                <w:tcPr>
                  <w:tcW w:type="dxa" w:w="382"/>
                  <w:vMerge/>
                  <w:tcBorders>
                    <w:top w:val="none" w:color="000000" w:sz="4"/>
                    <w:left w:val="single" w:color="000000" w:sz="4"/>
                    <w:bottom w:val="single" w:color="000000" w:sz="4"/>
                    <w:right w:val="single" w:color="000000" w:sz="4"/>
                  </w:tcBorders>
                </w:tcPr>
                <w:p/>
              </w:tc>
              <w:tc>
                <w:tcPr>
                  <w:tcW w:type="dxa" w:w="335"/>
                  <w:vMerge/>
                  <w:tcBorders>
                    <w:top w:val="none" w:color="000000" w:sz="4"/>
                    <w:left w:val="non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参考文献文字错误率</w:t>
                  </w: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小于</w:t>
                  </w:r>
                  <w:r>
                    <w:rPr>
                      <w:rFonts w:ascii="仿宋_GB2312" w:hAnsi="仿宋_GB2312" w:cs="仿宋_GB2312" w:eastAsia="仿宋_GB2312"/>
                      <w:sz w:val="20"/>
                      <w:color w:val="0000FF"/>
                    </w:rPr>
                    <w:t>0.1%</w:t>
                  </w:r>
                </w:p>
              </w:tc>
            </w:tr>
            <w:tr>
              <w:tc>
                <w:tcPr>
                  <w:tcW w:type="dxa" w:w="382"/>
                  <w:vMerge/>
                  <w:tcBorders>
                    <w:top w:val="none" w:color="000000" w:sz="4"/>
                    <w:left w:val="single" w:color="000000" w:sz="4"/>
                    <w:bottom w:val="single" w:color="000000" w:sz="4"/>
                    <w:right w:val="single" w:color="000000" w:sz="4"/>
                  </w:tcBorders>
                </w:tcPr>
                <w:p/>
              </w:tc>
              <w:tc>
                <w:tcPr>
                  <w:tcW w:type="dxa" w:w="335"/>
                  <w:vMerge/>
                  <w:tcBorders>
                    <w:top w:val="none" w:color="000000" w:sz="4"/>
                    <w:left w:val="non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其他著录项文字错误率</w:t>
                  </w: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小于</w:t>
                  </w:r>
                  <w:r>
                    <w:rPr>
                      <w:rFonts w:ascii="仿宋_GB2312" w:hAnsi="仿宋_GB2312" w:cs="仿宋_GB2312" w:eastAsia="仿宋_GB2312"/>
                      <w:sz w:val="20"/>
                      <w:color w:val="0000FF"/>
                    </w:rPr>
                    <w:t>0.5‰</w:t>
                  </w:r>
                </w:p>
              </w:tc>
            </w:tr>
            <w:tr>
              <w:tc>
                <w:tcPr>
                  <w:tcW w:type="dxa" w:w="382"/>
                  <w:vMerge/>
                  <w:tcBorders>
                    <w:top w:val="none" w:color="000000" w:sz="4"/>
                    <w:left w:val="single" w:color="000000" w:sz="4"/>
                    <w:bottom w:val="single" w:color="000000" w:sz="4"/>
                    <w:right w:val="single" w:color="000000" w:sz="4"/>
                  </w:tcBorders>
                </w:tcPr>
                <w:p/>
              </w:tc>
              <w:tc>
                <w:tcPr>
                  <w:tcW w:type="dxa" w:w="33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标引</w:t>
                  </w:r>
                </w:p>
              </w:tc>
              <w:tc>
                <w:tcPr>
                  <w:tcW w:type="dxa" w:w="3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主题词</w:t>
                  </w:r>
                </w:p>
                <w:p>
                  <w:pPr>
                    <w:pStyle w:val="null3"/>
                    <w:jc w:val="center"/>
                  </w:pPr>
                  <w:r>
                    <w:rPr>
                      <w:rFonts w:ascii="仿宋_GB2312" w:hAnsi="仿宋_GB2312" w:cs="仿宋_GB2312" w:eastAsia="仿宋_GB2312"/>
                      <w:sz w:val="20"/>
                      <w:color w:val="0000FF"/>
                    </w:rPr>
                    <w:t>标引</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正确率</w:t>
                  </w: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≥90%</w:t>
                  </w:r>
                </w:p>
              </w:tc>
            </w:tr>
            <w:tr>
              <w:tc>
                <w:tcPr>
                  <w:tcW w:type="dxa" w:w="382"/>
                  <w:vMerge/>
                  <w:tcBorders>
                    <w:top w:val="none" w:color="000000" w:sz="4"/>
                    <w:left w:val="single" w:color="000000" w:sz="4"/>
                    <w:bottom w:val="single" w:color="000000" w:sz="4"/>
                    <w:right w:val="single" w:color="000000" w:sz="4"/>
                  </w:tcBorders>
                </w:tcPr>
                <w:p/>
              </w:tc>
              <w:tc>
                <w:tcPr>
                  <w:tcW w:type="dxa" w:w="335"/>
                  <w:vMerge/>
                  <w:tcBorders>
                    <w:top w:val="none" w:color="000000" w:sz="4"/>
                    <w:left w:val="non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一致度</w:t>
                  </w: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≥90%</w:t>
                  </w:r>
                </w:p>
              </w:tc>
            </w:tr>
            <w:tr>
              <w:tc>
                <w:tcPr>
                  <w:tcW w:type="dxa" w:w="382"/>
                  <w:vMerge/>
                  <w:tcBorders>
                    <w:top w:val="none" w:color="000000" w:sz="4"/>
                    <w:left w:val="single" w:color="000000" w:sz="4"/>
                    <w:bottom w:val="single" w:color="000000" w:sz="4"/>
                    <w:right w:val="single" w:color="000000" w:sz="4"/>
                  </w:tcBorders>
                </w:tcPr>
                <w:p/>
              </w:tc>
              <w:tc>
                <w:tcPr>
                  <w:tcW w:type="dxa" w:w="335"/>
                  <w:vMerge/>
                  <w:tcBorders>
                    <w:top w:val="none" w:color="000000" w:sz="4"/>
                    <w:left w:val="none" w:color="000000" w:sz="4"/>
                    <w:bottom w:val="single" w:color="000000" w:sz="4"/>
                    <w:right w:val="single" w:color="000000" w:sz="4"/>
                  </w:tcBorders>
                </w:tcPr>
                <w:p/>
              </w:tc>
              <w:tc>
                <w:tcPr>
                  <w:tcW w:type="dxa" w:w="3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关键词</w:t>
                  </w:r>
                </w:p>
                <w:p>
                  <w:pPr>
                    <w:pStyle w:val="null3"/>
                    <w:jc w:val="center"/>
                  </w:pPr>
                  <w:r>
                    <w:rPr>
                      <w:rFonts w:ascii="仿宋_GB2312" w:hAnsi="仿宋_GB2312" w:cs="仿宋_GB2312" w:eastAsia="仿宋_GB2312"/>
                      <w:sz w:val="20"/>
                      <w:color w:val="0000FF"/>
                    </w:rPr>
                    <w:t>标引</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正确率</w:t>
                  </w: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≥90%</w:t>
                  </w:r>
                </w:p>
              </w:tc>
            </w:tr>
            <w:tr>
              <w:tc>
                <w:tcPr>
                  <w:tcW w:type="dxa" w:w="382"/>
                  <w:vMerge/>
                  <w:tcBorders>
                    <w:top w:val="none" w:color="000000" w:sz="4"/>
                    <w:left w:val="single" w:color="000000" w:sz="4"/>
                    <w:bottom w:val="single" w:color="000000" w:sz="4"/>
                    <w:right w:val="single" w:color="000000" w:sz="4"/>
                  </w:tcBorders>
                </w:tcPr>
                <w:p/>
              </w:tc>
              <w:tc>
                <w:tcPr>
                  <w:tcW w:type="dxa" w:w="335"/>
                  <w:vMerge/>
                  <w:tcBorders>
                    <w:top w:val="none" w:color="000000" w:sz="4"/>
                    <w:left w:val="non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一致度</w:t>
                  </w: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≥90%</w:t>
                  </w:r>
                </w:p>
              </w:tc>
            </w:tr>
            <w:tr>
              <w:tc>
                <w:tcPr>
                  <w:tcW w:type="dxa" w:w="382"/>
                  <w:vMerge/>
                  <w:tcBorders>
                    <w:top w:val="none" w:color="000000" w:sz="4"/>
                    <w:left w:val="single" w:color="000000" w:sz="4"/>
                    <w:bottom w:val="single" w:color="000000" w:sz="4"/>
                    <w:right w:val="single" w:color="000000" w:sz="4"/>
                  </w:tcBorders>
                </w:tcPr>
                <w:p/>
              </w:tc>
              <w:tc>
                <w:tcPr>
                  <w:tcW w:type="dxa" w:w="335"/>
                  <w:vMerge/>
                  <w:tcBorders>
                    <w:top w:val="none" w:color="000000" w:sz="4"/>
                    <w:left w:val="none" w:color="000000" w:sz="4"/>
                    <w:bottom w:val="single" w:color="000000" w:sz="4"/>
                    <w:right w:val="single" w:color="000000" w:sz="4"/>
                  </w:tcBorders>
                </w:tcPr>
                <w:p/>
              </w:tc>
              <w:tc>
                <w:tcPr>
                  <w:tcW w:type="dxa" w:w="3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中国图</w:t>
                  </w:r>
                </w:p>
                <w:p>
                  <w:pPr>
                    <w:pStyle w:val="null3"/>
                    <w:jc w:val="center"/>
                  </w:pPr>
                  <w:r>
                    <w:rPr>
                      <w:rFonts w:ascii="仿宋_GB2312" w:hAnsi="仿宋_GB2312" w:cs="仿宋_GB2312" w:eastAsia="仿宋_GB2312"/>
                      <w:sz w:val="20"/>
                      <w:color w:val="0000FF"/>
                    </w:rPr>
                    <w:t>书馆分</w:t>
                  </w:r>
                </w:p>
                <w:p>
                  <w:pPr>
                    <w:pStyle w:val="null3"/>
                    <w:jc w:val="center"/>
                  </w:pPr>
                  <w:r>
                    <w:rPr>
                      <w:rFonts w:ascii="仿宋_GB2312" w:hAnsi="仿宋_GB2312" w:cs="仿宋_GB2312" w:eastAsia="仿宋_GB2312"/>
                      <w:sz w:val="20"/>
                      <w:color w:val="0000FF"/>
                    </w:rPr>
                    <w:t>类法分</w:t>
                  </w:r>
                </w:p>
                <w:p>
                  <w:pPr>
                    <w:pStyle w:val="null3"/>
                    <w:jc w:val="center"/>
                  </w:pPr>
                  <w:r>
                    <w:rPr>
                      <w:rFonts w:ascii="仿宋_GB2312" w:hAnsi="仿宋_GB2312" w:cs="仿宋_GB2312" w:eastAsia="仿宋_GB2312"/>
                      <w:sz w:val="20"/>
                      <w:color w:val="0000FF"/>
                    </w:rPr>
                    <w:t>类号</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标引正确率</w:t>
                  </w: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≥90%</w:t>
                  </w:r>
                </w:p>
              </w:tc>
            </w:tr>
            <w:tr>
              <w:tc>
                <w:tcPr>
                  <w:tcW w:type="dxa" w:w="382"/>
                  <w:vMerge/>
                  <w:tcBorders>
                    <w:top w:val="none" w:color="000000" w:sz="4"/>
                    <w:left w:val="single" w:color="000000" w:sz="4"/>
                    <w:bottom w:val="single" w:color="000000" w:sz="4"/>
                    <w:right w:val="single" w:color="000000" w:sz="4"/>
                  </w:tcBorders>
                </w:tcPr>
                <w:p/>
              </w:tc>
              <w:tc>
                <w:tcPr>
                  <w:tcW w:type="dxa" w:w="335"/>
                  <w:vMerge/>
                  <w:tcBorders>
                    <w:top w:val="none" w:color="000000" w:sz="4"/>
                    <w:left w:val="non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标引一致度</w:t>
                  </w: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≥90%</w:t>
                  </w:r>
                </w:p>
              </w:tc>
            </w:tr>
            <w:tr>
              <w:tc>
                <w:tcPr>
                  <w:tcW w:type="dxa" w:w="382"/>
                  <w:vMerge/>
                  <w:tcBorders>
                    <w:top w:val="none" w:color="000000" w:sz="4"/>
                    <w:left w:val="single" w:color="000000" w:sz="4"/>
                    <w:bottom w:val="single" w:color="000000" w:sz="4"/>
                    <w:right w:val="single" w:color="000000" w:sz="4"/>
                  </w:tcBorders>
                </w:tcPr>
                <w:p/>
              </w:tc>
              <w:tc>
                <w:tcPr>
                  <w:tcW w:type="dxa" w:w="33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印</w:t>
                  </w:r>
                </w:p>
                <w:p>
                  <w:pPr>
                    <w:pStyle w:val="null3"/>
                    <w:jc w:val="center"/>
                  </w:pPr>
                  <w:r>
                    <w:rPr>
                      <w:rFonts w:ascii="仿宋_GB2312" w:hAnsi="仿宋_GB2312" w:cs="仿宋_GB2312" w:eastAsia="仿宋_GB2312"/>
                      <w:sz w:val="20"/>
                      <w:color w:val="0000FF"/>
                    </w:rPr>
                    <w:t>刷</w:t>
                  </w:r>
                </w:p>
                <w:p>
                  <w:pPr>
                    <w:pStyle w:val="null3"/>
                    <w:jc w:val="center"/>
                  </w:pPr>
                  <w:r>
                    <w:rPr>
                      <w:rFonts w:ascii="仿宋_GB2312" w:hAnsi="仿宋_GB2312" w:cs="仿宋_GB2312" w:eastAsia="仿宋_GB2312"/>
                      <w:sz w:val="20"/>
                      <w:color w:val="0000FF"/>
                    </w:rPr>
                    <w:t>版</w:t>
                  </w:r>
                </w:p>
                <w:p>
                  <w:pPr>
                    <w:pStyle w:val="null3"/>
                    <w:jc w:val="center"/>
                  </w:pPr>
                  <w:r>
                    <w:rPr>
                      <w:rFonts w:ascii="仿宋_GB2312" w:hAnsi="仿宋_GB2312" w:cs="仿宋_GB2312" w:eastAsia="仿宋_GB2312"/>
                      <w:sz w:val="20"/>
                      <w:color w:val="0000FF"/>
                    </w:rPr>
                    <w:t>全</w:t>
                  </w:r>
                </w:p>
                <w:p>
                  <w:pPr>
                    <w:pStyle w:val="null3"/>
                    <w:jc w:val="center"/>
                  </w:pPr>
                  <w:r>
                    <w:rPr>
                      <w:rFonts w:ascii="仿宋_GB2312" w:hAnsi="仿宋_GB2312" w:cs="仿宋_GB2312" w:eastAsia="仿宋_GB2312"/>
                      <w:sz w:val="20"/>
                      <w:color w:val="0000FF"/>
                    </w:rPr>
                    <w:t>文</w:t>
                  </w:r>
                </w:p>
                <w:p>
                  <w:pPr>
                    <w:pStyle w:val="null3"/>
                    <w:jc w:val="center"/>
                  </w:pPr>
                </w:p>
              </w:tc>
              <w:tc>
                <w:tcPr>
                  <w:tcW w:type="dxa" w:w="115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文字与灰度图像扫描分辨率</w:t>
                  </w: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不小于</w:t>
                  </w:r>
                  <w:r>
                    <w:rPr>
                      <w:rFonts w:ascii="仿宋_GB2312" w:hAnsi="仿宋_GB2312" w:cs="仿宋_GB2312" w:eastAsia="仿宋_GB2312"/>
                      <w:sz w:val="20"/>
                      <w:color w:val="0000FF"/>
                    </w:rPr>
                    <w:t>300dpi</w:t>
                  </w:r>
                </w:p>
              </w:tc>
            </w:tr>
            <w:tr>
              <w:tc>
                <w:tcPr>
                  <w:tcW w:type="dxa" w:w="382"/>
                  <w:vMerge/>
                  <w:tcBorders>
                    <w:top w:val="none" w:color="000000" w:sz="4"/>
                    <w:left w:val="single" w:color="000000" w:sz="4"/>
                    <w:bottom w:val="single" w:color="000000" w:sz="4"/>
                    <w:right w:val="single" w:color="000000" w:sz="4"/>
                  </w:tcBorders>
                </w:tcPr>
                <w:p/>
              </w:tc>
              <w:tc>
                <w:tcPr>
                  <w:tcW w:type="dxa" w:w="335"/>
                  <w:vMerge/>
                  <w:tcBorders>
                    <w:top w:val="none" w:color="000000" w:sz="4"/>
                    <w:left w:val="none" w:color="000000" w:sz="4"/>
                    <w:bottom w:val="single" w:color="000000" w:sz="4"/>
                    <w:right w:val="single" w:color="000000" w:sz="4"/>
                  </w:tcBorders>
                </w:tcPr>
                <w:p/>
              </w:tc>
              <w:tc>
                <w:tcPr>
                  <w:tcW w:type="dxa" w:w="115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彩色图像扫描分辨率</w:t>
                  </w: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不小于</w:t>
                  </w:r>
                  <w:r>
                    <w:rPr>
                      <w:rFonts w:ascii="仿宋_GB2312" w:hAnsi="仿宋_GB2312" w:cs="仿宋_GB2312" w:eastAsia="仿宋_GB2312"/>
                      <w:sz w:val="20"/>
                      <w:color w:val="0000FF"/>
                    </w:rPr>
                    <w:t>200dpi</w:t>
                  </w:r>
                </w:p>
              </w:tc>
            </w:tr>
            <w:tr>
              <w:tc>
                <w:tcPr>
                  <w:tcW w:type="dxa" w:w="382"/>
                  <w:vMerge/>
                  <w:tcBorders>
                    <w:top w:val="none" w:color="000000" w:sz="4"/>
                    <w:left w:val="single" w:color="000000" w:sz="4"/>
                    <w:bottom w:val="single" w:color="000000" w:sz="4"/>
                    <w:right w:val="single" w:color="000000" w:sz="4"/>
                  </w:tcBorders>
                </w:tcPr>
                <w:p/>
              </w:tc>
              <w:tc>
                <w:tcPr>
                  <w:tcW w:type="dxa" w:w="335"/>
                  <w:vMerge/>
                  <w:tcBorders>
                    <w:top w:val="none" w:color="000000" w:sz="4"/>
                    <w:left w:val="none" w:color="000000" w:sz="4"/>
                    <w:bottom w:val="single" w:color="000000" w:sz="4"/>
                    <w:right w:val="single" w:color="000000" w:sz="4"/>
                  </w:tcBorders>
                </w:tcPr>
                <w:p/>
              </w:tc>
              <w:tc>
                <w:tcPr>
                  <w:tcW w:type="dxa" w:w="3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图像打印</w:t>
                  </w:r>
                </w:p>
                <w:p>
                  <w:pPr>
                    <w:pStyle w:val="null3"/>
                    <w:jc w:val="center"/>
                  </w:pP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文字和灰度图像</w:t>
                  </w:r>
                </w:p>
              </w:tc>
              <w:tc>
                <w:tcPr>
                  <w:tcW w:type="dxa" w:w="6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支持</w:t>
                  </w:r>
                  <w:r>
                    <w:rPr>
                      <w:rFonts w:ascii="仿宋_GB2312" w:hAnsi="仿宋_GB2312" w:cs="仿宋_GB2312" w:eastAsia="仿宋_GB2312"/>
                      <w:sz w:val="20"/>
                      <w:color w:val="0000FF"/>
                    </w:rPr>
                    <w:t>300dpi的保真打印</w:t>
                  </w:r>
                </w:p>
              </w:tc>
            </w:tr>
            <w:tr>
              <w:tc>
                <w:tcPr>
                  <w:tcW w:type="dxa" w:w="382"/>
                  <w:vMerge/>
                  <w:tcBorders>
                    <w:top w:val="none" w:color="000000" w:sz="4"/>
                    <w:left w:val="single" w:color="000000" w:sz="4"/>
                    <w:bottom w:val="single" w:color="000000" w:sz="4"/>
                    <w:right w:val="single" w:color="000000" w:sz="4"/>
                  </w:tcBorders>
                </w:tcPr>
                <w:p/>
              </w:tc>
              <w:tc>
                <w:tcPr>
                  <w:tcW w:type="dxa" w:w="335"/>
                  <w:vMerge/>
                  <w:tcBorders>
                    <w:top w:val="none" w:color="000000" w:sz="4"/>
                    <w:left w:val="none" w:color="000000" w:sz="4"/>
                    <w:bottom w:val="single" w:color="000000" w:sz="4"/>
                    <w:right w:val="single" w:color="000000" w:sz="4"/>
                  </w:tcBorders>
                </w:tcPr>
                <w:p/>
              </w:tc>
              <w:tc>
                <w:tcPr>
                  <w:tcW w:type="dxa" w:w="347"/>
                  <w:vMerge/>
                  <w:tcBorders>
                    <w:top w:val="none" w:color="000000" w:sz="4"/>
                    <w:left w:val="none" w:color="000000" w:sz="4"/>
                    <w:bottom w:val="single" w:color="000000" w:sz="4"/>
                    <w:right w:val="single" w:color="000000" w:sz="4"/>
                  </w:tcBorders>
                </w:tcP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彩色图片</w:t>
                  </w: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支持</w:t>
                  </w:r>
                  <w:r>
                    <w:rPr>
                      <w:rFonts w:ascii="仿宋_GB2312" w:hAnsi="仿宋_GB2312" w:cs="仿宋_GB2312" w:eastAsia="仿宋_GB2312"/>
                      <w:sz w:val="20"/>
                      <w:color w:val="0000FF"/>
                    </w:rPr>
                    <w:t>200dpi的保真打印</w:t>
                  </w:r>
                </w:p>
              </w:tc>
            </w:tr>
            <w:tr>
              <w:tc>
                <w:tcPr>
                  <w:tcW w:type="dxa" w:w="382"/>
                  <w:vMerge/>
                  <w:tcBorders>
                    <w:top w:val="none" w:color="000000" w:sz="4"/>
                    <w:left w:val="single" w:color="000000" w:sz="4"/>
                    <w:bottom w:val="single" w:color="000000" w:sz="4"/>
                    <w:right w:val="single" w:color="000000" w:sz="4"/>
                  </w:tcBorders>
                </w:tcPr>
                <w:p/>
              </w:tc>
              <w:tc>
                <w:tcPr>
                  <w:tcW w:type="dxa" w:w="335"/>
                  <w:vMerge/>
                  <w:tcBorders>
                    <w:top w:val="none" w:color="000000" w:sz="4"/>
                    <w:left w:val="none" w:color="000000" w:sz="4"/>
                    <w:bottom w:val="single" w:color="000000" w:sz="4"/>
                    <w:right w:val="single" w:color="000000" w:sz="4"/>
                  </w:tcBorders>
                </w:tcPr>
                <w:p/>
              </w:tc>
              <w:tc>
                <w:tcPr>
                  <w:tcW w:type="dxa" w:w="115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页面错误率</w:t>
                  </w: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小于</w:t>
                  </w:r>
                  <w:r>
                    <w:rPr>
                      <w:rFonts w:ascii="仿宋_GB2312" w:hAnsi="仿宋_GB2312" w:cs="仿宋_GB2312" w:eastAsia="仿宋_GB2312"/>
                      <w:sz w:val="20"/>
                      <w:color w:val="0000FF"/>
                    </w:rPr>
                    <w:t>0.5‰</w:t>
                  </w:r>
                </w:p>
              </w:tc>
            </w:tr>
          </w:tbl>
          <w:p>
            <w:pPr>
              <w:pStyle w:val="null3"/>
              <w:spacing w:before="180"/>
              <w:ind w:left="45" w:right="30" w:firstLine="485"/>
              <w:jc w:val="both"/>
            </w:pPr>
            <w:r>
              <w:rPr>
                <w:rFonts w:ascii="仿宋_GB2312" w:hAnsi="仿宋_GB2312" w:cs="仿宋_GB2312" w:eastAsia="仿宋_GB2312"/>
                <w:sz w:val="20"/>
                <w:color w:val="0000FF"/>
              </w:rPr>
              <w:t>（三）纸质图书采购及入库配套耗材</w:t>
            </w:r>
          </w:p>
          <w:p>
            <w:pPr>
              <w:pStyle w:val="null3"/>
              <w:spacing w:before="180"/>
              <w:ind w:left="45" w:right="30" w:firstLine="485"/>
              <w:jc w:val="both"/>
            </w:pPr>
            <w:r>
              <w:rPr>
                <w:rFonts w:ascii="仿宋_GB2312" w:hAnsi="仿宋_GB2312" w:cs="仿宋_GB2312" w:eastAsia="仿宋_GB2312"/>
                <w:sz w:val="20"/>
                <w:color w:val="0000FF"/>
              </w:rPr>
              <w:t>1.纸质图书</w:t>
            </w:r>
          </w:p>
          <w:p>
            <w:pPr>
              <w:pStyle w:val="null3"/>
              <w:spacing w:before="180"/>
              <w:ind w:left="45" w:right="30" w:firstLine="485"/>
              <w:jc w:val="both"/>
            </w:pPr>
            <w:r>
              <w:rPr>
                <w:rFonts w:ascii="仿宋_GB2312" w:hAnsi="仿宋_GB2312" w:cs="仿宋_GB2312" w:eastAsia="仿宋_GB2312"/>
                <w:sz w:val="20"/>
                <w:color w:val="0000FF"/>
              </w:rPr>
              <w:t>供应商需提供包含社会科学、</w:t>
            </w:r>
            <w:r>
              <w:rPr>
                <w:rFonts w:ascii="仿宋_GB2312" w:hAnsi="仿宋_GB2312" w:cs="仿宋_GB2312" w:eastAsia="仿宋_GB2312"/>
                <w:sz w:val="20"/>
                <w:color w:val="0000FF"/>
              </w:rPr>
              <w:t>自然科学、综合性图书等五个基本部类的最新版纸质图书书目，以供选择。纸质图书采购总金额为</w:t>
            </w:r>
            <w:r>
              <w:rPr>
                <w:rFonts w:ascii="仿宋_GB2312" w:hAnsi="仿宋_GB2312" w:cs="仿宋_GB2312" w:eastAsia="仿宋_GB2312"/>
                <w:sz w:val="20"/>
                <w:color w:val="0000FF"/>
              </w:rPr>
              <w:t>2万元。</w:t>
            </w:r>
          </w:p>
          <w:p>
            <w:pPr>
              <w:pStyle w:val="null3"/>
              <w:spacing w:before="180"/>
              <w:ind w:left="45" w:right="30" w:firstLine="485"/>
              <w:jc w:val="both"/>
            </w:pPr>
            <w:r>
              <w:rPr>
                <w:rFonts w:ascii="仿宋_GB2312" w:hAnsi="仿宋_GB2312" w:cs="仿宋_GB2312" w:eastAsia="仿宋_GB2312"/>
                <w:sz w:val="20"/>
                <w:color w:val="0000FF"/>
              </w:rPr>
              <w:t>2.入库配套耗材（磁条码和书标纸标签）</w:t>
            </w:r>
          </w:p>
          <w:p>
            <w:pPr>
              <w:pStyle w:val="null3"/>
              <w:spacing w:before="180"/>
              <w:ind w:left="45" w:right="30" w:firstLine="485"/>
              <w:jc w:val="both"/>
            </w:pPr>
            <w:r>
              <w:rPr>
                <w:rFonts w:ascii="仿宋_GB2312" w:hAnsi="仿宋_GB2312" w:cs="仿宋_GB2312" w:eastAsia="仿宋_GB2312"/>
                <w:sz w:val="20"/>
                <w:color w:val="0000FF"/>
              </w:rPr>
              <w:t>（</w:t>
            </w:r>
            <w:r>
              <w:rPr>
                <w:rFonts w:ascii="仿宋_GB2312" w:hAnsi="仿宋_GB2312" w:cs="仿宋_GB2312" w:eastAsia="仿宋_GB2312"/>
                <w:sz w:val="20"/>
                <w:color w:val="0000FF"/>
              </w:rPr>
              <w:t>1）磁条码和书标纸标签需适配我校图书馆现有纸质图书管理系统；</w:t>
            </w:r>
          </w:p>
          <w:p>
            <w:pPr>
              <w:pStyle w:val="null3"/>
              <w:spacing w:before="180"/>
              <w:ind w:left="45" w:right="30" w:firstLine="485"/>
              <w:jc w:val="both"/>
            </w:pPr>
            <w:r>
              <w:rPr>
                <w:rFonts w:ascii="仿宋_GB2312" w:hAnsi="仿宋_GB2312" w:cs="仿宋_GB2312" w:eastAsia="仿宋_GB2312"/>
                <w:sz w:val="20"/>
                <w:color w:val="0000FF"/>
              </w:rPr>
              <w:t>（</w:t>
            </w:r>
            <w:r>
              <w:rPr>
                <w:rFonts w:ascii="仿宋_GB2312" w:hAnsi="仿宋_GB2312" w:cs="仿宋_GB2312" w:eastAsia="仿宋_GB2312"/>
                <w:sz w:val="20"/>
                <w:color w:val="0000FF"/>
              </w:rPr>
              <w:t>2）协议标准：ISO18000-6C 标准、EPC CLASS1 GEN2;</w:t>
            </w:r>
          </w:p>
          <w:p>
            <w:pPr>
              <w:pStyle w:val="null3"/>
              <w:spacing w:before="180"/>
              <w:ind w:left="45" w:right="30" w:firstLine="485"/>
              <w:jc w:val="both"/>
            </w:pPr>
            <w:r>
              <w:rPr>
                <w:rFonts w:ascii="仿宋_GB2312" w:hAnsi="仿宋_GB2312" w:cs="仿宋_GB2312" w:eastAsia="仿宋_GB2312"/>
                <w:sz w:val="20"/>
                <w:color w:val="0000FF"/>
              </w:rPr>
              <w:t>（</w:t>
            </w:r>
            <w:r>
              <w:rPr>
                <w:rFonts w:ascii="仿宋_GB2312" w:hAnsi="仿宋_GB2312" w:cs="仿宋_GB2312" w:eastAsia="仿宋_GB2312"/>
                <w:sz w:val="20"/>
                <w:color w:val="0000FF"/>
              </w:rPr>
              <w:t>3）标签内存：TID:64Bit;EPC:96Bit;User:512Bit;</w:t>
            </w:r>
          </w:p>
          <w:p>
            <w:pPr>
              <w:pStyle w:val="null3"/>
              <w:spacing w:before="180"/>
              <w:ind w:left="45" w:right="30" w:firstLine="485"/>
              <w:jc w:val="both"/>
            </w:pPr>
            <w:r>
              <w:rPr>
                <w:rFonts w:ascii="仿宋_GB2312" w:hAnsi="仿宋_GB2312" w:cs="仿宋_GB2312" w:eastAsia="仿宋_GB2312"/>
                <w:sz w:val="20"/>
                <w:color w:val="0000FF"/>
              </w:rPr>
              <w:t>（</w:t>
            </w:r>
            <w:r>
              <w:rPr>
                <w:rFonts w:ascii="仿宋_GB2312" w:hAnsi="仿宋_GB2312" w:cs="仿宋_GB2312" w:eastAsia="仿宋_GB2312"/>
                <w:sz w:val="20"/>
                <w:color w:val="0000FF"/>
              </w:rPr>
              <w:t>4）工作频率：860～960MHz;</w:t>
            </w:r>
          </w:p>
          <w:p>
            <w:pPr>
              <w:pStyle w:val="null3"/>
              <w:spacing w:before="180"/>
              <w:ind w:left="45" w:right="30" w:firstLine="485"/>
              <w:jc w:val="both"/>
            </w:pPr>
            <w:r>
              <w:rPr>
                <w:rFonts w:ascii="仿宋_GB2312" w:hAnsi="仿宋_GB2312" w:cs="仿宋_GB2312" w:eastAsia="仿宋_GB2312"/>
                <w:sz w:val="20"/>
                <w:color w:val="0000FF"/>
              </w:rPr>
              <w:t>（</w:t>
            </w:r>
            <w:r>
              <w:rPr>
                <w:rFonts w:ascii="仿宋_GB2312" w:hAnsi="仿宋_GB2312" w:cs="仿宋_GB2312" w:eastAsia="仿宋_GB2312"/>
                <w:sz w:val="20"/>
                <w:color w:val="0000FF"/>
              </w:rPr>
              <w:t>5）环境温度范围：-20度-70度</w:t>
            </w:r>
          </w:p>
          <w:p>
            <w:pPr>
              <w:pStyle w:val="null3"/>
              <w:spacing w:before="180"/>
              <w:ind w:left="45" w:right="30" w:firstLine="485"/>
              <w:jc w:val="both"/>
            </w:pPr>
            <w:r>
              <w:rPr>
                <w:rFonts w:ascii="仿宋_GB2312" w:hAnsi="仿宋_GB2312" w:cs="仿宋_GB2312" w:eastAsia="仿宋_GB2312"/>
                <w:sz w:val="20"/>
                <w:color w:val="0000FF"/>
              </w:rPr>
              <w:t>（</w:t>
            </w:r>
            <w:r>
              <w:rPr>
                <w:rFonts w:ascii="仿宋_GB2312" w:hAnsi="仿宋_GB2312" w:cs="仿宋_GB2312" w:eastAsia="仿宋_GB2312"/>
                <w:sz w:val="20"/>
                <w:color w:val="0000FF"/>
              </w:rPr>
              <w:t>6）芯片使用寿命：读写10万次，有效期10年。</w:t>
            </w:r>
          </w:p>
          <w:p>
            <w:pPr>
              <w:pStyle w:val="null3"/>
              <w:spacing w:before="180"/>
              <w:ind w:left="45" w:right="30" w:firstLine="485"/>
              <w:jc w:val="both"/>
            </w:pPr>
            <w:r>
              <w:rPr>
                <w:rFonts w:ascii="仿宋_GB2312" w:hAnsi="仿宋_GB2312" w:cs="仿宋_GB2312" w:eastAsia="仿宋_GB2312"/>
                <w:sz w:val="20"/>
                <w:color w:val="0000FF"/>
              </w:rPr>
              <w:t>（</w:t>
            </w:r>
            <w:r>
              <w:rPr>
                <w:rFonts w:ascii="仿宋_GB2312" w:hAnsi="仿宋_GB2312" w:cs="仿宋_GB2312" w:eastAsia="仿宋_GB2312"/>
                <w:sz w:val="20"/>
                <w:color w:val="0000FF"/>
              </w:rPr>
              <w:t>7）防冲突性：允许工作区间内多个标签的可靠识读；</w:t>
            </w:r>
          </w:p>
          <w:p>
            <w:pPr>
              <w:pStyle w:val="null3"/>
              <w:spacing w:before="180"/>
              <w:ind w:left="45" w:right="30" w:firstLine="485"/>
              <w:jc w:val="both"/>
            </w:pPr>
            <w:r>
              <w:rPr>
                <w:rFonts w:ascii="仿宋_GB2312" w:hAnsi="仿宋_GB2312" w:cs="仿宋_GB2312" w:eastAsia="仿宋_GB2312"/>
                <w:sz w:val="20"/>
                <w:color w:val="0000FF"/>
              </w:rPr>
              <w:t>（</w:t>
            </w:r>
            <w:r>
              <w:rPr>
                <w:rFonts w:ascii="仿宋_GB2312" w:hAnsi="仿宋_GB2312" w:cs="仿宋_GB2312" w:eastAsia="仿宋_GB2312"/>
                <w:sz w:val="20"/>
                <w:color w:val="0000FF"/>
              </w:rPr>
              <w:t>8）有效识读距离：完全符合自助借还、盘点机、安全门等设备读取要求；标签可以非接触式的读取和写入；</w:t>
            </w:r>
          </w:p>
          <w:p>
            <w:pPr>
              <w:pStyle w:val="null3"/>
              <w:spacing w:before="180"/>
              <w:ind w:left="45" w:right="30" w:firstLine="485"/>
              <w:jc w:val="both"/>
            </w:pPr>
            <w:r>
              <w:rPr>
                <w:rFonts w:ascii="仿宋_GB2312" w:hAnsi="仿宋_GB2312" w:cs="仿宋_GB2312" w:eastAsia="仿宋_GB2312"/>
                <w:sz w:val="20"/>
                <w:color w:val="0000FF"/>
              </w:rPr>
              <w:t>（</w:t>
            </w:r>
            <w:r>
              <w:rPr>
                <w:rFonts w:ascii="仿宋_GB2312" w:hAnsi="仿宋_GB2312" w:cs="仿宋_GB2312" w:eastAsia="仿宋_GB2312"/>
                <w:sz w:val="20"/>
                <w:color w:val="0000FF"/>
              </w:rPr>
              <w:t>9）标签具有一定的抗冲突性，保证多个标签的同时可靠</w:t>
            </w:r>
            <w:r>
              <w:rPr>
                <w:rFonts w:ascii="仿宋_GB2312" w:hAnsi="仿宋_GB2312" w:cs="仿宋_GB2312" w:eastAsia="仿宋_GB2312"/>
                <w:sz w:val="20"/>
                <w:color w:val="0000FF"/>
              </w:rPr>
              <w:t>识别</w:t>
            </w:r>
            <w:r>
              <w:rPr>
                <w:rFonts w:ascii="仿宋_GB2312" w:hAnsi="仿宋_GB2312" w:cs="仿宋_GB2312" w:eastAsia="仿宋_GB2312"/>
                <w:sz w:val="20"/>
                <w:color w:val="0000FF"/>
              </w:rPr>
              <w:t>。</w:t>
            </w:r>
          </w:p>
          <w:p>
            <w:pPr>
              <w:pStyle w:val="null3"/>
              <w:spacing w:before="180"/>
              <w:ind w:left="45" w:right="30" w:firstLine="485"/>
              <w:jc w:val="both"/>
            </w:pPr>
            <w:r>
              <w:rPr>
                <w:rFonts w:ascii="仿宋_GB2312" w:hAnsi="仿宋_GB2312" w:cs="仿宋_GB2312" w:eastAsia="仿宋_GB2312"/>
                <w:sz w:val="20"/>
                <w:color w:val="0000FF"/>
              </w:rPr>
              <w:t>（</w:t>
            </w:r>
            <w:r>
              <w:rPr>
                <w:rFonts w:ascii="仿宋_GB2312" w:hAnsi="仿宋_GB2312" w:cs="仿宋_GB2312" w:eastAsia="仿宋_GB2312"/>
                <w:sz w:val="20"/>
                <w:color w:val="0000FF"/>
              </w:rPr>
              <w:t>10）标签具有较高的安全性，防止存储在其中的信息资料被泄露；</w:t>
            </w:r>
          </w:p>
          <w:p>
            <w:pPr>
              <w:pStyle w:val="null3"/>
              <w:spacing w:before="180"/>
              <w:ind w:left="45" w:right="30" w:firstLine="485"/>
              <w:jc w:val="both"/>
            </w:pPr>
            <w:r>
              <w:rPr>
                <w:rFonts w:ascii="仿宋_GB2312" w:hAnsi="仿宋_GB2312" w:cs="仿宋_GB2312" w:eastAsia="仿宋_GB2312"/>
                <w:sz w:val="20"/>
                <w:color w:val="0000FF"/>
              </w:rPr>
              <w:t>（</w:t>
            </w:r>
            <w:r>
              <w:rPr>
                <w:rFonts w:ascii="仿宋_GB2312" w:hAnsi="仿宋_GB2312" w:cs="仿宋_GB2312" w:eastAsia="仿宋_GB2312"/>
                <w:sz w:val="20"/>
                <w:color w:val="0000FF"/>
              </w:rPr>
              <w:t>11）用户可自定义数据格式和内容，具有良好的数据扩展性；</w:t>
            </w:r>
          </w:p>
          <w:p>
            <w:pPr>
              <w:pStyle w:val="null3"/>
              <w:spacing w:before="180"/>
              <w:ind w:left="45" w:right="30" w:firstLine="485"/>
              <w:jc w:val="both"/>
            </w:pPr>
            <w:r>
              <w:rPr>
                <w:rFonts w:ascii="仿宋_GB2312" w:hAnsi="仿宋_GB2312" w:cs="仿宋_GB2312" w:eastAsia="仿宋_GB2312"/>
                <w:sz w:val="20"/>
                <w:color w:val="0000FF"/>
              </w:rPr>
              <w:t>（</w:t>
            </w:r>
            <w:r>
              <w:rPr>
                <w:rFonts w:ascii="仿宋_GB2312" w:hAnsi="仿宋_GB2312" w:cs="仿宋_GB2312" w:eastAsia="仿宋_GB2312"/>
                <w:sz w:val="20"/>
                <w:color w:val="0000FF"/>
              </w:rPr>
              <w:t>12）图书标签采用AFI或EAS位作为防盗的安全标志方法，且AFI标志位必须可以用户自由修改；</w:t>
            </w:r>
          </w:p>
          <w:p>
            <w:pPr>
              <w:pStyle w:val="null3"/>
              <w:spacing w:before="180"/>
              <w:ind w:left="45" w:right="30" w:firstLine="485"/>
              <w:jc w:val="both"/>
            </w:pPr>
            <w:r>
              <w:rPr>
                <w:rFonts w:ascii="仿宋_GB2312" w:hAnsi="仿宋_GB2312" w:cs="仿宋_GB2312" w:eastAsia="仿宋_GB2312"/>
                <w:sz w:val="20"/>
                <w:color w:val="0000FF"/>
              </w:rPr>
              <w:t>（</w:t>
            </w:r>
            <w:r>
              <w:rPr>
                <w:rFonts w:ascii="仿宋_GB2312" w:hAnsi="仿宋_GB2312" w:cs="仿宋_GB2312" w:eastAsia="仿宋_GB2312"/>
                <w:sz w:val="20"/>
                <w:color w:val="0000FF"/>
              </w:rPr>
              <w:t>13）标签为自带不干胶标签,标签粘贴到位后不易撕毁、脱落</w:t>
            </w:r>
          </w:p>
          <w:p>
            <w:pPr>
              <w:pStyle w:val="null3"/>
              <w:spacing w:before="180"/>
              <w:ind w:left="45" w:right="30" w:firstLine="485"/>
              <w:jc w:val="both"/>
            </w:pPr>
            <w:r>
              <w:rPr>
                <w:rFonts w:ascii="仿宋_GB2312" w:hAnsi="仿宋_GB2312" w:cs="仿宋_GB2312" w:eastAsia="仿宋_GB2312"/>
                <w:sz w:val="20"/>
                <w:color w:val="0000FF"/>
              </w:rPr>
              <w:t>（</w:t>
            </w:r>
            <w:r>
              <w:rPr>
                <w:rFonts w:ascii="仿宋_GB2312" w:hAnsi="仿宋_GB2312" w:cs="仿宋_GB2312" w:eastAsia="仿宋_GB2312"/>
                <w:sz w:val="20"/>
                <w:color w:val="0000FF"/>
              </w:rPr>
              <w:t>14）A4大小空白书标纸，每张书标纸有45个小书标。</w:t>
            </w:r>
          </w:p>
          <w:p>
            <w:pPr>
              <w:pStyle w:val="null3"/>
              <w:spacing w:before="180"/>
              <w:ind w:left="45" w:right="30" w:firstLine="485"/>
              <w:jc w:val="both"/>
            </w:pPr>
            <w:r>
              <w:rPr>
                <w:rFonts w:ascii="仿宋_GB2312" w:hAnsi="仿宋_GB2312" w:cs="仿宋_GB2312" w:eastAsia="仿宋_GB2312"/>
                <w:sz w:val="20"/>
                <w:color w:val="0000FF"/>
              </w:rPr>
              <w:t>（</w:t>
            </w:r>
            <w:r>
              <w:rPr>
                <w:rFonts w:ascii="仿宋_GB2312" w:hAnsi="仿宋_GB2312" w:cs="仿宋_GB2312" w:eastAsia="仿宋_GB2312"/>
                <w:sz w:val="20"/>
                <w:color w:val="0000FF"/>
              </w:rPr>
              <w:t>15）小书标尺寸：40*26.09mm。</w:t>
            </w:r>
          </w:p>
          <w:p>
            <w:pPr>
              <w:pStyle w:val="null3"/>
              <w:spacing w:before="180"/>
              <w:ind w:left="45" w:right="30" w:firstLine="485"/>
              <w:jc w:val="both"/>
            </w:pPr>
            <w:r>
              <w:rPr>
                <w:rFonts w:ascii="仿宋_GB2312" w:hAnsi="仿宋_GB2312" w:cs="仿宋_GB2312" w:eastAsia="仿宋_GB2312"/>
                <w:sz w:val="20"/>
                <w:color w:val="0000FF"/>
              </w:rPr>
              <w:t>（</w:t>
            </w:r>
            <w:r>
              <w:rPr>
                <w:rFonts w:ascii="仿宋_GB2312" w:hAnsi="仿宋_GB2312" w:cs="仿宋_GB2312" w:eastAsia="仿宋_GB2312"/>
                <w:sz w:val="20"/>
                <w:color w:val="0000FF"/>
              </w:rPr>
              <w:t>16）入库配套耗材最少采购3500套。</w:t>
            </w:r>
          </w:p>
          <w:p>
            <w:pPr>
              <w:pStyle w:val="null3"/>
              <w:spacing w:before="180"/>
              <w:ind w:left="45" w:right="30" w:firstLine="485"/>
              <w:jc w:val="both"/>
            </w:pPr>
            <w:r>
              <w:rPr>
                <w:rFonts w:ascii="仿宋_GB2312" w:hAnsi="仿宋_GB2312" w:cs="仿宋_GB2312" w:eastAsia="仿宋_GB2312"/>
                <w:sz w:val="20"/>
                <w:b/>
                <w:color w:val="0000FF"/>
              </w:rPr>
              <w:t>四、服务要求</w:t>
            </w:r>
          </w:p>
          <w:p>
            <w:pPr>
              <w:pStyle w:val="null3"/>
              <w:spacing w:before="180"/>
              <w:ind w:left="45" w:right="30" w:firstLine="485"/>
              <w:jc w:val="both"/>
            </w:pPr>
            <w:r>
              <w:rPr>
                <w:rFonts w:ascii="仿宋_GB2312" w:hAnsi="仿宋_GB2312" w:cs="仿宋_GB2312" w:eastAsia="仿宋_GB2312"/>
                <w:sz w:val="20"/>
                <w:color w:val="0000FF"/>
              </w:rPr>
              <w:t>1、供应商有售后服务机构或办事处，服务期限内能够提供免费的售后服务，包含但不限于数据安装、应用培训等售后服务。</w:t>
            </w:r>
          </w:p>
          <w:p>
            <w:pPr>
              <w:pStyle w:val="null3"/>
              <w:spacing w:before="180"/>
              <w:ind w:left="45" w:right="30" w:firstLine="485"/>
              <w:jc w:val="both"/>
            </w:pPr>
            <w:r>
              <w:rPr>
                <w:rFonts w:ascii="仿宋_GB2312" w:hAnsi="仿宋_GB2312" w:cs="仿宋_GB2312" w:eastAsia="仿宋_GB2312"/>
                <w:sz w:val="20"/>
                <w:color w:val="0000FF"/>
              </w:rPr>
              <w:t>2、对于学校原因造成的产品使用故障，能够提供通过电话支持、网络服务等方式，协助用户排查解决，特殊情况下可派技术人员上门协助解决。对于产品本身原因造成的使用故障由</w:t>
            </w:r>
            <w:r>
              <w:rPr>
                <w:rFonts w:ascii="仿宋_GB2312" w:hAnsi="仿宋_GB2312" w:cs="仿宋_GB2312" w:eastAsia="仿宋_GB2312"/>
                <w:sz w:val="20"/>
                <w:color w:val="0000FF"/>
              </w:rPr>
              <w:t>供应商</w:t>
            </w:r>
            <w:r>
              <w:rPr>
                <w:rFonts w:ascii="仿宋_GB2312" w:hAnsi="仿宋_GB2312" w:cs="仿宋_GB2312" w:eastAsia="仿宋_GB2312"/>
                <w:sz w:val="20"/>
                <w:color w:val="0000FF"/>
              </w:rPr>
              <w:t>负责免费排除。</w:t>
            </w:r>
          </w:p>
          <w:p>
            <w:pPr>
              <w:pStyle w:val="null3"/>
              <w:spacing w:before="180"/>
              <w:ind w:left="45" w:right="30" w:firstLine="485"/>
              <w:jc w:val="both"/>
            </w:pPr>
            <w:r>
              <w:rPr>
                <w:rFonts w:ascii="仿宋_GB2312" w:hAnsi="仿宋_GB2312" w:cs="仿宋_GB2312" w:eastAsia="仿宋_GB2312"/>
                <w:sz w:val="20"/>
                <w:color w:val="0000FF"/>
              </w:rPr>
              <w:t>3、使用出现故障时，工作时间内，网络服务、电话服务的响应时间小于2小时，需要上门解决时，能够在24小时内到达现场进行协调解决。</w:t>
            </w:r>
          </w:p>
          <w:p>
            <w:pPr>
              <w:pStyle w:val="null3"/>
              <w:spacing w:before="180"/>
              <w:ind w:left="45" w:right="30" w:firstLine="485"/>
              <w:jc w:val="both"/>
            </w:pPr>
            <w:r>
              <w:rPr>
                <w:rFonts w:ascii="仿宋_GB2312" w:hAnsi="仿宋_GB2312" w:cs="仿宋_GB2312" w:eastAsia="仿宋_GB2312"/>
                <w:sz w:val="20"/>
                <w:color w:val="0000FF"/>
              </w:rPr>
              <w:t>4、供应商能够提供产品的紧急备份访问服务，保证用户可持续使用产品。</w:t>
            </w:r>
          </w:p>
          <w:p>
            <w:pPr>
              <w:pStyle w:val="null3"/>
              <w:spacing w:before="180"/>
              <w:ind w:left="45" w:right="30" w:firstLine="485"/>
              <w:jc w:val="both"/>
            </w:pPr>
            <w:r>
              <w:rPr>
                <w:rFonts w:ascii="仿宋_GB2312" w:hAnsi="仿宋_GB2312" w:cs="仿宋_GB2312" w:eastAsia="仿宋_GB2312"/>
                <w:sz w:val="20"/>
                <w:color w:val="0000FF"/>
              </w:rPr>
              <w:t>5、镜像数据丢失后，供应商能够免费提供数据丢失后的恢复服务。</w:t>
            </w:r>
          </w:p>
          <w:p>
            <w:pPr>
              <w:pStyle w:val="null3"/>
              <w:spacing w:before="180"/>
              <w:ind w:left="45" w:right="30" w:firstLine="485"/>
              <w:jc w:val="both"/>
            </w:pPr>
            <w:r>
              <w:rPr>
                <w:rFonts w:ascii="仿宋_GB2312" w:hAnsi="仿宋_GB2312" w:cs="仿宋_GB2312" w:eastAsia="仿宋_GB2312"/>
                <w:sz w:val="20"/>
                <w:color w:val="0000FF"/>
              </w:rPr>
              <w:t>6、提供其他系统接入、远程访问服务。</w:t>
            </w:r>
          </w:p>
          <w:p>
            <w:pPr>
              <w:pStyle w:val="null3"/>
            </w:pPr>
            <w:r>
              <w:rPr>
                <w:rFonts w:ascii="仿宋_GB2312" w:hAnsi="仿宋_GB2312" w:cs="仿宋_GB2312" w:eastAsia="仿宋_GB2312"/>
                <w:sz w:val="20"/>
                <w:b/>
                <w:color w:val="0000FF"/>
              </w:rPr>
              <w:t>备注：带</w:t>
            </w:r>
            <w:r>
              <w:rPr>
                <w:rFonts w:ascii="仿宋_GB2312" w:hAnsi="仿宋_GB2312" w:cs="仿宋_GB2312" w:eastAsia="仿宋_GB2312"/>
                <w:sz w:val="20"/>
                <w:b/>
                <w:color w:val="0000FF"/>
              </w:rPr>
              <w:t>“★”的参数需求为实质性要求，需提供相关证明材料，证明材料要求：不限于官网截图或用户使用说明书或技术规格书或产品彩页或加盖供应商公章的白皮书或技术规格书。未提供者按无效文件处理。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详见技术参数与性能指标。</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详见技术参数与性能指标。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详见技术参数与性能指标。</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根据磋商文件、磋商响应文件、合同及国家相关标准。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经甲方验收合格后，乙方开具等额有效发票给甲方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 1、依据《中华人民共和国民法典》、《中华人民共和国政府采购法》、《中华人民共和国政府采购法实施条例》的相关条款和签订合同约定，服务商未全面履行合同义务或者发生违约，采购方会同采购代理机构有权终止合同，依法向服务商进行经济索赔，并报请政府采购监督管理机关进行相应的行政处罚。采购方违约的，应当赔偿服务商造成的经济损失。 2、服务商未按照合同约定的时间完成服务的，每逾期一日，按照合同总额的1%向采购方支付违约金；逾期超过10日的，采购方有权解除本合同，服务商应退还采购方已支付的全部款项，并按合同总额的20%向采购方支付违约金。违约金不足以弥补采购方损失的，服务商还应赔偿采购方损失。 解决争议的方法： 本合同在履行过程中发生的争议，由甲、乙双方当事人协商解决，协商不成的按下列第2种方式解决： 1、提交当地仲裁委员会仲裁； 2、依法向甲方所在地人民法院起诉。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1、成交供应商在领取成交通知书时，须线下递交纸质版投标文件正本壹份、副本叁份、电子版壹份(投标文件内容与电子化交易平台上的内容一致)，纸质版投标文件在书脊处标注项目名称和项目编号。 2、如磋商文件中融资相关内容与新政策要求有出入，按照最新要求执行。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营业执照等主体资格证明文件：提供有效存续的企业营业执照（副本）/事业单位法人证书/专业服务机构执业许可证/民办非企业单位登记证书。自然人参与的提供身份证明；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提供法定代表人授权书（附法定代表人、被授权人身份证复印件）及被授权人身份证原件（法定代表人直接参加投标，须提供法定代表人身份证明及身份证原件）；</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财务状况报告：提供2024年度或2025年度完整版的财务审计报告（成立时间至提交投标文件截止时间不足一年的可提供成立后任意时段的资产负债表），或投标时间前六个月内基本账户银行出具的资信证明；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税收缴纳证明：提供投标截止之日前一年内已缴纳的至少三个月的纳税证明或完税证明（任意税种），依法免税的单位应提供相关证明材料；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社会保障资金缴纳证明：提供投标截止之日前一年内已缴存的至少三个月的社会保障资金缴存单据或社保机构开具的社会保险参保缴费情况证明，依法不需要缴纳社会保障资金的单位应提供相关证明材料；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专业技术能力说明</w:t>
            </w:r>
          </w:p>
        </w:tc>
        <w:tc>
          <w:tcPr>
            <w:tcW w:type="dxa" w:w="3322"/>
          </w:tcPr>
          <w:p>
            <w:pPr>
              <w:pStyle w:val="null3"/>
            </w:pPr>
            <w:r>
              <w:rPr>
                <w:rFonts w:ascii="仿宋_GB2312" w:hAnsi="仿宋_GB2312" w:cs="仿宋_GB2312" w:eastAsia="仿宋_GB2312"/>
              </w:rPr>
              <w:t>专业技术能力说明：提供具有履行本合同所必需的设备和专业技术能力的说明及承诺书；</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无重大违法说明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投标人无须提供，投标现场查询）；</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控股关系承诺书</w:t>
            </w:r>
          </w:p>
        </w:tc>
        <w:tc>
          <w:tcPr>
            <w:tcW w:type="dxa" w:w="3322"/>
          </w:tcPr>
          <w:p>
            <w:pPr>
              <w:pStyle w:val="null3"/>
            </w:pPr>
            <w:r>
              <w:rPr>
                <w:rFonts w:ascii="仿宋_GB2312" w:hAnsi="仿宋_GB2312" w:cs="仿宋_GB2312" w:eastAsia="仿宋_GB2312"/>
              </w:rPr>
              <w:t>单位负责人为同一人或存在直接控股、管理关系的不同单位，不得参加同一合同项下的政府采购活动；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非联合体承诺书</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有下列情形之一的，应在符合性审查时按照无效磋商处理： （1）磋商响应文件未按照磋商文件规定要求签署、盖章的； （2）不满足本磋商文件中“服务期限、服务地点、采购资金的支付方式及约定”的实质性条款要求的； （3）文件有效期不足的或无有效期的； （4）报价超过磋商文件中规定的预算金额或最高限价的； （5）其他实质性不符合的情况； （6）法律、法规和磋商文件规定的其他无效情形。</w:t>
            </w:r>
          </w:p>
        </w:tc>
        <w:tc>
          <w:tcPr>
            <w:tcW w:type="dxa" w:w="1661"/>
          </w:tcPr>
          <w:p>
            <w:pPr>
              <w:pStyle w:val="null3"/>
            </w:pPr>
            <w:r>
              <w:rPr>
                <w:rFonts w:ascii="仿宋_GB2312" w:hAnsi="仿宋_GB2312" w:cs="仿宋_GB2312" w:eastAsia="仿宋_GB2312"/>
              </w:rPr>
              <w:t>技术（服务）要求响应偏离表.docx 业绩一览表.docx 中小企业声明函 报价表 商务应答表.docx 响应文件封面 分项报价表.docx 供应商应提交的相关资格证明材料.docx 残疾人福利性单位声明函 供应商认为有必要说明的其他问题.docx 标的清单 响应函 服务方案.docx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技术（服务）要求评审</w:t>
            </w:r>
          </w:p>
        </w:tc>
        <w:tc>
          <w:tcPr>
            <w:tcW w:type="dxa" w:w="2492"/>
          </w:tcPr>
          <w:p>
            <w:pPr>
              <w:pStyle w:val="null3"/>
            </w:pPr>
            <w:r>
              <w:rPr>
                <w:rFonts w:ascii="仿宋_GB2312" w:hAnsi="仿宋_GB2312" w:cs="仿宋_GB2312" w:eastAsia="仿宋_GB2312"/>
              </w:rPr>
              <w:t>供应商对第三章3.2.2服务要求中技术要求条款内容在技术（服务）要求响应偏离表中逐条进行明确响应。其中：技术指标响应全部满足或优于磋商文件技术参数及功能要求得20分。除★外，每出现一项负偏离扣0.5分，扣完为止。 备注：投标人需对所提供内容的真实性负责。如有虚假，将依法承担相应责任。</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技术（服务）要求响应偏离表.docx</w:t>
            </w:r>
          </w:p>
        </w:tc>
      </w:tr>
      <w:tr>
        <w:tc>
          <w:tcPr>
            <w:tcW w:type="dxa" w:w="831"/>
            <w:vMerge/>
          </w:tcP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供应商提供针对本项目的理解方案。 1、充分理解本项目服务需求，对项目现状和整体认知的理解，思路清晰明确得5分； 2、理解方案有针对性，但还有可以优化空间得3分； 3、方案内容有缺陷、表述前后不一致、套用其他项目方案或与项目需求不匹配等得1分；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针对本项目的服务内容及要求提供总体实施方案，包括但不限于：①服务方案②质量保障方案③实施进度计划④项目组织管理等内容提供具体、详细、合理的方案。 方案内容完整详尽、可操作性强，且符合本项目要求得16分，每有一项缺项扣4分；每有一项内容存在缺陷扣1分。缺陷是指：虽有内容,但内容不合理、不完善、前后表述不一致、套用其他项目方案与本项目需求不匹配及不利于本项目实施的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针对本项目的服务内容及要求提供培训方案，包括但不限于：①培训组织架构②培训方式及培训内容③培训流程及日程安排等内容提供具体、详细、合理的方案。 方案内容完整详尽、可操作性强，且符合本项目要求得9分，每有一项缺项扣3分；每有一项内容存在缺陷扣0.5分。缺陷是指：虽有内容,但内容不合理、不完善、前后表述不一致、套用其他项目方案与本项目需求不匹配及不利于本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售后服务能力</w:t>
            </w:r>
          </w:p>
        </w:tc>
        <w:tc>
          <w:tcPr>
            <w:tcW w:type="dxa" w:w="2492"/>
          </w:tcPr>
          <w:p>
            <w:pPr>
              <w:pStyle w:val="null3"/>
            </w:pPr>
            <w:r>
              <w:rPr>
                <w:rFonts w:ascii="仿宋_GB2312" w:hAnsi="仿宋_GB2312" w:cs="仿宋_GB2312" w:eastAsia="仿宋_GB2312"/>
              </w:rPr>
              <w:t>根据本项目实际需求提供售后服务方案。包括但不限于：①售后服务范围及保障措施②响应时间及方式③故障处理及补救措施。 内容完整详尽、可操作性强，且符合本项目要求得9分，每有一项缺项扣3分；每有一项内容存在缺陷扣0.5分。缺陷是指：虽有内容,但内容不合理、不完善、前后表述不一致、套用其他项目方案与本项目需求不匹配及不利于本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拟投入本项目组织机构合理、人员计划安排非常得当，人员具有类似项目工作经历，得5分； 拟投入本项目组织机构基本合理、人员计划基本得当，人员具有类似项目工作经历，得3分； 拟投入本项目组织机构较差、人力计划安排混乱，仅能满足日常需要的得1分 备注：供应商需对人员的从业工作年限、年龄、学历、职业经历等进行详细的描述，未按要求进行描述的不得分）。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提供2023年04月1日至今类似项目业绩，每提供一份得2分,最高得6分。未提供不得分。 备注：以合同签订日期（具体到某年某月某日）为准附有业绩合同复印件加盖公章作为证明材料。</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满足磋商文件要求且最后报价最低的供应商的价格为评审基准价，其价格分为满分。其他供应商的价格分统一按照下列公式计算：投标报价得分=（评审基准价/最后磋商报价）×价格权值×100%。 注：磋商报价不完整的，不进入评标基准价的计算，本项得0分。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详见附件：技术（服务）要求响应偏离表.docx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详见附件：供应商认为有必要说明的其他问题.docx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