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1597A">
      <w:pPr>
        <w:pStyle w:val="9"/>
        <w:jc w:val="center"/>
        <w:outlineLvl w:val="1"/>
        <w:rPr>
          <w:rFonts w:hint="eastAsia" w:eastAsia="宋体"/>
          <w:highlight w:val="none"/>
          <w:lang w:eastAsia="zh-CN"/>
        </w:rPr>
      </w:pPr>
      <w:r>
        <w:rPr>
          <w:b/>
          <w:sz w:val="36"/>
          <w:highlight w:val="none"/>
        </w:rPr>
        <w:t>拟签订采购</w:t>
      </w:r>
      <w:bookmarkStart w:id="0" w:name="_GoBack"/>
      <w:r>
        <w:rPr>
          <w:b/>
          <w:sz w:val="36"/>
          <w:highlight w:val="none"/>
        </w:rPr>
        <w:t>合同文本</w:t>
      </w:r>
      <w:bookmarkEnd w:id="0"/>
    </w:p>
    <w:p w14:paraId="49176240">
      <w:pPr>
        <w:rPr>
          <w:rFonts w:hint="eastAsia"/>
          <w:lang w:val="en-US" w:eastAsia="zh-Hans"/>
        </w:rPr>
      </w:pPr>
    </w:p>
    <w:p w14:paraId="571B79BB">
      <w:pPr>
        <w:pStyle w:val="4"/>
        <w:bidi w:val="0"/>
        <w:rPr>
          <w:rFonts w:hint="eastAsia"/>
          <w:b/>
          <w:bCs/>
          <w:highlight w:val="none"/>
          <w:lang w:eastAsia="zh-CN"/>
        </w:rPr>
      </w:pPr>
      <w:r>
        <w:rPr>
          <w:rFonts w:hint="eastAsia"/>
          <w:b/>
          <w:bCs/>
          <w:highlight w:val="none"/>
        </w:rPr>
        <w:t>本合同仅为参考格式,签订合同时甲方有权对具体合同条款做出修改</w:t>
      </w:r>
      <w:r>
        <w:rPr>
          <w:rFonts w:hint="eastAsia"/>
          <w:b/>
          <w:bCs/>
          <w:highlight w:val="none"/>
          <w:lang w:eastAsia="zh-CN"/>
        </w:rPr>
        <w:t>。</w:t>
      </w:r>
    </w:p>
    <w:p w14:paraId="167EF95D">
      <w:pPr>
        <w:spacing w:line="360" w:lineRule="auto"/>
        <w:jc w:val="left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甲方（采购人）：</w:t>
      </w:r>
    </w:p>
    <w:p w14:paraId="3507799B">
      <w:pPr>
        <w:autoSpaceDE w:val="0"/>
        <w:autoSpaceDN w:val="0"/>
        <w:adjustRightInd w:val="0"/>
        <w:spacing w:line="360" w:lineRule="auto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乙方（供应商）：</w:t>
      </w:r>
      <w:r>
        <w:rPr>
          <w:rFonts w:ascii="宋体" w:hAnsi="宋体" w:cs="仿宋_GB2312"/>
          <w:bCs/>
          <w:sz w:val="24"/>
          <w:szCs w:val="24"/>
        </w:rPr>
        <w:t xml:space="preserve"> </w:t>
      </w:r>
    </w:p>
    <w:p w14:paraId="6EBF9C28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  <w:u w:val="single"/>
        </w:rPr>
        <w:t>（项目名称</w:t>
      </w:r>
      <w:r>
        <w:rPr>
          <w:rFonts w:hint="eastAsia" w:ascii="宋体" w:hAnsi="宋体" w:cs="仿宋_GB2312"/>
          <w:bCs/>
          <w:sz w:val="24"/>
          <w:szCs w:val="24"/>
          <w:u w:val="single"/>
          <w:lang w:eastAsia="zh-CN"/>
        </w:rPr>
        <w:t>：</w:t>
      </w:r>
      <w:r>
        <w:rPr>
          <w:rFonts w:hint="eastAsia" w:ascii="宋体" w:hAnsi="宋体" w:cs="仿宋_GB2312"/>
          <w:bCs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仿宋_GB2312"/>
          <w:bCs/>
          <w:sz w:val="24"/>
          <w:szCs w:val="24"/>
          <w:u w:val="single"/>
        </w:rPr>
        <w:t>）</w:t>
      </w:r>
      <w:r>
        <w:rPr>
          <w:rFonts w:ascii="宋体" w:hAnsi="宋体" w:cs="仿宋_GB2312"/>
          <w:bCs/>
          <w:sz w:val="24"/>
          <w:szCs w:val="24"/>
          <w:u w:val="single"/>
        </w:rPr>
        <w:t>(</w:t>
      </w:r>
      <w:r>
        <w:rPr>
          <w:rFonts w:hint="eastAsia" w:ascii="宋体" w:hAnsi="宋体" w:cs="仿宋_GB2312"/>
          <w:bCs/>
          <w:sz w:val="24"/>
          <w:szCs w:val="24"/>
          <w:u w:val="single"/>
        </w:rPr>
        <w:t>项目编号：</w:t>
      </w:r>
      <w:r>
        <w:rPr>
          <w:rFonts w:ascii="宋体" w:hAnsi="宋体" w:cs="仿宋_GB2312"/>
          <w:bCs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 w:cs="仿宋_GB2312"/>
          <w:bCs/>
          <w:sz w:val="24"/>
          <w:szCs w:val="24"/>
          <w:u w:val="single"/>
          <w:lang w:val="en-US" w:eastAsia="zh-CN"/>
        </w:rPr>
        <w:t xml:space="preserve">          </w:t>
      </w:r>
      <w:r>
        <w:rPr>
          <w:rFonts w:ascii="宋体" w:hAnsi="宋体" w:cs="仿宋_GB2312"/>
          <w:bCs/>
          <w:sz w:val="24"/>
          <w:szCs w:val="24"/>
          <w:u w:val="single"/>
          <w:lang w:val="zh-CN"/>
        </w:rPr>
        <w:t xml:space="preserve"> </w:t>
      </w:r>
      <w:r>
        <w:rPr>
          <w:rFonts w:ascii="宋体" w:hAnsi="宋体" w:cs="仿宋_GB2312"/>
          <w:bCs/>
          <w:sz w:val="24"/>
          <w:szCs w:val="24"/>
          <w:u w:val="single"/>
        </w:rPr>
        <w:t>)</w:t>
      </w:r>
      <w:r>
        <w:rPr>
          <w:rFonts w:hint="eastAsia" w:ascii="宋体" w:hAnsi="宋体" w:cs="仿宋_GB2312"/>
          <w:bCs/>
          <w:sz w:val="24"/>
          <w:szCs w:val="24"/>
        </w:rPr>
        <w:t>采用竞争性磋商方式确定</w:t>
      </w:r>
      <w:r>
        <w:rPr>
          <w:rFonts w:ascii="宋体" w:hAnsi="宋体" w:cs="仿宋_GB2312"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仿宋_GB2312"/>
          <w:bCs/>
          <w:sz w:val="24"/>
          <w:szCs w:val="24"/>
        </w:rPr>
        <w:t>（以下简称“乙方”）为本项目的成交供应商。</w:t>
      </w:r>
    </w:p>
    <w:p w14:paraId="3CCDC5F8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依据《中华人民共和国民法典》，经双方协商按下述条款和条件签署本合同。</w:t>
      </w:r>
    </w:p>
    <w:p w14:paraId="4F32991B">
      <w:pPr>
        <w:autoSpaceDE w:val="0"/>
        <w:autoSpaceDN w:val="0"/>
        <w:adjustRightInd w:val="0"/>
        <w:spacing w:line="360" w:lineRule="auto"/>
        <w:ind w:firstLine="482" w:firstLineChars="200"/>
        <w:rPr>
          <w:rFonts w:ascii="宋体" w:cs="仿宋_GB2312"/>
          <w:b/>
          <w:bCs/>
          <w:sz w:val="24"/>
          <w:szCs w:val="24"/>
        </w:rPr>
      </w:pPr>
      <w:r>
        <w:rPr>
          <w:rFonts w:hint="eastAsia" w:ascii="宋体" w:hAnsi="宋体" w:cs="仿宋_GB2312"/>
          <w:b/>
          <w:bCs/>
          <w:sz w:val="24"/>
          <w:szCs w:val="24"/>
        </w:rPr>
        <w:t>一、合同价款</w:t>
      </w:r>
    </w:p>
    <w:p w14:paraId="65D6E598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（一）合同总价款为人民币（大写）</w:t>
      </w:r>
      <w:r>
        <w:rPr>
          <w:rFonts w:ascii="宋体" w:hAnsi="宋体" w:cs="仿宋_GB2312"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仿宋_GB2312"/>
          <w:bCs/>
          <w:sz w:val="24"/>
          <w:szCs w:val="24"/>
        </w:rPr>
        <w:t>（¥</w:t>
      </w:r>
      <w:r>
        <w:rPr>
          <w:rFonts w:ascii="宋体" w:hAnsi="宋体" w:cs="仿宋_GB2312"/>
          <w:bCs/>
          <w:sz w:val="24"/>
          <w:szCs w:val="24"/>
          <w:u w:val="single"/>
        </w:rPr>
        <w:t xml:space="preserve">    </w:t>
      </w:r>
      <w:r>
        <w:rPr>
          <w:rFonts w:hint="eastAsia" w:ascii="宋体" w:hAnsi="宋体" w:cs="仿宋_GB2312"/>
          <w:bCs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宋体" w:hAnsi="宋体" w:cs="仿宋_GB2312"/>
          <w:bCs/>
          <w:sz w:val="24"/>
          <w:szCs w:val="24"/>
          <w:u w:val="single"/>
        </w:rPr>
        <w:t xml:space="preserve"> </w:t>
      </w:r>
      <w:r>
        <w:rPr>
          <w:rFonts w:ascii="宋体" w:hAnsi="宋体" w:cs="仿宋_GB2312"/>
          <w:bCs/>
          <w:sz w:val="24"/>
          <w:szCs w:val="24"/>
        </w:rPr>
        <w:t xml:space="preserve"> </w:t>
      </w:r>
      <w:r>
        <w:rPr>
          <w:rFonts w:hint="eastAsia" w:ascii="宋体" w:hAnsi="宋体" w:cs="仿宋_GB2312"/>
          <w:bCs/>
          <w:sz w:val="24"/>
          <w:szCs w:val="24"/>
        </w:rPr>
        <w:t>）。</w:t>
      </w:r>
    </w:p>
    <w:p w14:paraId="021BC93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（二）合同总价是指为本次服务工作所需的全部费用。</w:t>
      </w:r>
    </w:p>
    <w:p w14:paraId="73D83C8A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（三）合同总价一次性包死，不受市场价格变化因素的影响。</w:t>
      </w:r>
    </w:p>
    <w:p w14:paraId="5288F1C3">
      <w:pPr>
        <w:autoSpaceDE w:val="0"/>
        <w:autoSpaceDN w:val="0"/>
        <w:adjustRightInd w:val="0"/>
        <w:spacing w:line="360" w:lineRule="auto"/>
        <w:ind w:firstLine="482" w:firstLineChars="200"/>
        <w:rPr>
          <w:rFonts w:ascii="宋体" w:cs="仿宋_GB2312"/>
          <w:b/>
          <w:bCs/>
          <w:sz w:val="24"/>
          <w:szCs w:val="24"/>
        </w:rPr>
      </w:pPr>
      <w:r>
        <w:rPr>
          <w:rFonts w:hint="eastAsia" w:ascii="宋体" w:hAnsi="宋体" w:cs="仿宋_GB2312"/>
          <w:b/>
          <w:bCs/>
          <w:sz w:val="24"/>
          <w:szCs w:val="24"/>
        </w:rPr>
        <w:t>二、款项结算</w:t>
      </w:r>
    </w:p>
    <w:p w14:paraId="63DAFA7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（一）</w:t>
      </w:r>
      <w:r>
        <w:rPr>
          <w:rFonts w:hint="eastAsia" w:ascii="宋体" w:hAnsi="宋体" w:cs="仿宋_GB2312"/>
          <w:bCs/>
          <w:sz w:val="24"/>
          <w:szCs w:val="24"/>
          <w:lang w:val="en-US" w:eastAsia="zh-Hans"/>
        </w:rPr>
        <w:t>经甲方验收合格后，乙方开具等额有效发票给甲方，达到付款条件起30日内，支付合同总金额的100.00%。</w:t>
      </w:r>
    </w:p>
    <w:p w14:paraId="2F88CDFE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（二）支付方式：银行转账。</w:t>
      </w:r>
    </w:p>
    <w:p w14:paraId="52FB7975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/>
          <w:sz w:val="24"/>
          <w:szCs w:val="24"/>
        </w:rPr>
        <w:t>三、服务地点及服务期</w:t>
      </w:r>
    </w:p>
    <w:p w14:paraId="13FE063E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（一）服务地点：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cs="仿宋_GB2312"/>
          <w:bCs/>
          <w:sz w:val="24"/>
          <w:szCs w:val="24"/>
        </w:rPr>
        <w:t>指定地点。</w:t>
      </w:r>
    </w:p>
    <w:p w14:paraId="76E2155D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仿宋_GB2312"/>
          <w:b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（二）服务期限：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自合同签订之日起</w:t>
      </w:r>
      <w:r>
        <w:rPr>
          <w:rFonts w:hint="eastAsia" w:ascii="宋体" w:hAnsi="宋体" w:cs="仿宋_GB2312"/>
          <w:bCs/>
          <w:sz w:val="24"/>
          <w:szCs w:val="24"/>
        </w:rPr>
        <w:t>一年。</w:t>
      </w:r>
    </w:p>
    <w:p w14:paraId="73F3175B">
      <w:pPr>
        <w:autoSpaceDE w:val="0"/>
        <w:autoSpaceDN w:val="0"/>
        <w:adjustRightInd w:val="0"/>
        <w:spacing w:line="360" w:lineRule="auto"/>
        <w:ind w:firstLine="482" w:firstLineChars="200"/>
        <w:rPr>
          <w:rFonts w:ascii="宋体" w:cs="仿宋_GB2312"/>
          <w:b/>
          <w:sz w:val="24"/>
          <w:szCs w:val="24"/>
        </w:rPr>
      </w:pPr>
      <w:r>
        <w:rPr>
          <w:rFonts w:hint="eastAsia" w:ascii="宋体" w:hAnsi="宋体" w:cs="仿宋_GB2312"/>
          <w:b/>
          <w:sz w:val="24"/>
          <w:szCs w:val="24"/>
        </w:rPr>
        <w:t>四、验收时间及依据</w:t>
      </w:r>
    </w:p>
    <w:p w14:paraId="7A431A1B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（一）磋商文件、磋商响应文件；</w:t>
      </w:r>
    </w:p>
    <w:p w14:paraId="1A68B954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（二）本合同及附件文本；</w:t>
      </w:r>
    </w:p>
    <w:p w14:paraId="13CC1103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（三）该项目完成后，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乙方</w:t>
      </w:r>
      <w:r>
        <w:rPr>
          <w:rFonts w:hint="eastAsia" w:ascii="宋体" w:hAnsi="宋体" w:cs="仿宋_GB2312"/>
          <w:bCs/>
          <w:sz w:val="24"/>
          <w:szCs w:val="24"/>
        </w:rPr>
        <w:t>向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方申请验收，组织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方相关人员和专家组成的验收小组对项目进行最终验收。验收依据为签订合同文本、招投标文件和国内相应的标准、规范。验收合格后，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方填写终验验收单。验收不合格的，限期整改，整改过程中产生的费用和发生的一切损失由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乙方</w:t>
      </w:r>
      <w:r>
        <w:rPr>
          <w:rFonts w:hint="eastAsia" w:ascii="宋体" w:hAnsi="宋体" w:cs="仿宋_GB2312"/>
          <w:bCs/>
          <w:sz w:val="24"/>
          <w:szCs w:val="24"/>
        </w:rPr>
        <w:t>承担；整改超过二次的，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方有权单方解除本合同，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乙方</w:t>
      </w:r>
      <w:r>
        <w:rPr>
          <w:rFonts w:hint="eastAsia" w:ascii="宋体" w:hAnsi="宋体" w:cs="仿宋_GB2312"/>
          <w:bCs/>
          <w:sz w:val="24"/>
          <w:szCs w:val="24"/>
        </w:rPr>
        <w:t>应无条件退还已收取的全部合同价款，并按合同总价10%向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方支付违约金，违约金不足弥补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方损失（包括但不限于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方为此产生的律师费、诉讼费等）的，由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乙方</w:t>
      </w:r>
      <w:r>
        <w:rPr>
          <w:rFonts w:hint="eastAsia" w:ascii="宋体" w:hAnsi="宋体" w:cs="仿宋_GB2312"/>
          <w:bCs/>
          <w:sz w:val="24"/>
          <w:szCs w:val="24"/>
        </w:rPr>
        <w:t>负责赔偿。</w:t>
      </w:r>
    </w:p>
    <w:p w14:paraId="502C0FED">
      <w:pPr>
        <w:autoSpaceDE w:val="0"/>
        <w:autoSpaceDN w:val="0"/>
        <w:adjustRightInd w:val="0"/>
        <w:spacing w:line="360" w:lineRule="auto"/>
        <w:ind w:firstLine="482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/>
          <w:bCs/>
          <w:sz w:val="24"/>
          <w:szCs w:val="24"/>
        </w:rPr>
        <w:t>五、责任与义务</w:t>
      </w:r>
    </w:p>
    <w:p w14:paraId="13D42E3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（一）乙方满足甲方人数和服务质量要求，经甲方与乙方双方负责人确认，对达不到本项目采购要求所述条件要求的人员进行更换。</w:t>
      </w:r>
    </w:p>
    <w:p w14:paraId="36DD9AE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二）投标报价应是乙方正确、全面完成磋商响应文件所述全部工作内容的全部报酬，不受市场价格变化等因素的影响，乙方不得以任何理由变更投标报价。所有根据合同或其它原因由乙方支付的税金和其它应缴纳的费用，以及利润等都应包括在乙方提交的投标报价中，乙方不得要求甲方在报价之外支付其它任何费用。由于报价填报不完整、不清楚或存在其它任何失误，所导致的任何不利后果均应当由乙方自行承担。</w:t>
      </w:r>
    </w:p>
    <w:p w14:paraId="0180292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（三）合同有效期内，投标报价不因市场因素、政府政策调整、费率调整和税收变化等而作任何调整，乙方应在投标时充分考虑到各种风险因素。</w:t>
      </w:r>
    </w:p>
    <w:p w14:paraId="163568AE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/>
          <w:bCs/>
          <w:sz w:val="24"/>
          <w:szCs w:val="24"/>
        </w:rPr>
        <w:t>六</w:t>
      </w:r>
      <w:r>
        <w:rPr>
          <w:rFonts w:hint="eastAsia" w:ascii="宋体" w:hAnsi="宋体" w:cs="仿宋_GB2312"/>
          <w:b/>
          <w:sz w:val="24"/>
          <w:szCs w:val="24"/>
        </w:rPr>
        <w:t>、违约责任</w:t>
      </w:r>
    </w:p>
    <w:p w14:paraId="04903E6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（一）依据《中华人民共和国民法典》、《中华人民共和国政府采购法》、《中华人民共和国政府采购法实施条例》的相关条款和签订合同约定，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乙方</w:t>
      </w:r>
      <w:r>
        <w:rPr>
          <w:rFonts w:hint="eastAsia" w:ascii="宋体" w:hAnsi="宋体" w:cs="仿宋_GB2312"/>
          <w:bCs/>
          <w:sz w:val="24"/>
          <w:szCs w:val="24"/>
        </w:rPr>
        <w:t>未全面履行合同义务或者发生违约，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方会同采购代理机构有权终止合同，依法向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乙方</w:t>
      </w:r>
      <w:r>
        <w:rPr>
          <w:rFonts w:hint="eastAsia" w:ascii="宋体" w:hAnsi="宋体" w:cs="仿宋_GB2312"/>
          <w:bCs/>
          <w:sz w:val="24"/>
          <w:szCs w:val="24"/>
        </w:rPr>
        <w:t>进行经济索赔，并报请政府采购监督管理机关进行相应的行政处罚。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方违约的，应当赔偿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乙方</w:t>
      </w:r>
      <w:r>
        <w:rPr>
          <w:rFonts w:hint="eastAsia" w:ascii="宋体" w:hAnsi="宋体" w:cs="仿宋_GB2312"/>
          <w:bCs/>
          <w:sz w:val="24"/>
          <w:szCs w:val="24"/>
        </w:rPr>
        <w:t>造成的经济损失。</w:t>
      </w:r>
    </w:p>
    <w:p w14:paraId="53C5B55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（二）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乙方</w:t>
      </w:r>
      <w:r>
        <w:rPr>
          <w:rFonts w:hint="eastAsia" w:ascii="宋体" w:hAnsi="宋体" w:cs="仿宋_GB2312"/>
          <w:bCs/>
          <w:sz w:val="24"/>
          <w:szCs w:val="24"/>
        </w:rPr>
        <w:t>未按照合同约定的时间完成服务的，每逾期一日，按照合同总额的1%向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方支付违约金；逾期超过10日的，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方有权解除本合同，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乙方</w:t>
      </w:r>
      <w:r>
        <w:rPr>
          <w:rFonts w:hint="eastAsia" w:ascii="宋体" w:hAnsi="宋体" w:cs="仿宋_GB2312"/>
          <w:bCs/>
          <w:sz w:val="24"/>
          <w:szCs w:val="24"/>
        </w:rPr>
        <w:t>应退还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方已支付的全部款项，并按合同总额的20%向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方支付违约金。违约金不足以弥补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方损失的，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乙方</w:t>
      </w:r>
      <w:r>
        <w:rPr>
          <w:rFonts w:hint="eastAsia" w:ascii="宋体" w:hAnsi="宋体" w:cs="仿宋_GB2312"/>
          <w:bCs/>
          <w:sz w:val="24"/>
          <w:szCs w:val="24"/>
        </w:rPr>
        <w:t>还应赔偿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甲</w:t>
      </w:r>
      <w:r>
        <w:rPr>
          <w:rFonts w:hint="eastAsia" w:ascii="宋体" w:hAnsi="宋体" w:cs="仿宋_GB2312"/>
          <w:bCs/>
          <w:sz w:val="24"/>
          <w:szCs w:val="24"/>
        </w:rPr>
        <w:t>方损失。</w:t>
      </w:r>
    </w:p>
    <w:p w14:paraId="7E83E0EB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cs="仿宋_GB2312"/>
          <w:b/>
          <w:bCs/>
          <w:sz w:val="24"/>
          <w:szCs w:val="24"/>
        </w:rPr>
      </w:pPr>
      <w:r>
        <w:rPr>
          <w:rFonts w:hint="eastAsia" w:ascii="宋体" w:hAnsi="宋体" w:cs="仿宋_GB2312"/>
          <w:b/>
          <w:bCs/>
          <w:sz w:val="24"/>
          <w:szCs w:val="24"/>
        </w:rPr>
        <w:t>七、其他事项</w:t>
      </w:r>
    </w:p>
    <w:p w14:paraId="01998BB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（一）本项目实施过程中，主体、关键性工作不得分包，非主体、非关键性工作若有部分需要分包，分包单位须经甲方同意。</w:t>
      </w:r>
    </w:p>
    <w:p w14:paraId="31D23E86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</w:rPr>
        <w:t>（二）乙方的磋商响应文件和承诺等内容将列入合同。</w:t>
      </w:r>
    </w:p>
    <w:p w14:paraId="48AFA86A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cs="仿宋_GB2312"/>
          <w:b/>
          <w:bCs/>
          <w:sz w:val="24"/>
          <w:szCs w:val="24"/>
        </w:rPr>
      </w:pPr>
      <w:r>
        <w:rPr>
          <w:rFonts w:hint="eastAsia" w:ascii="宋体" w:hAnsi="宋体" w:cs="仿宋_GB2312"/>
          <w:b/>
          <w:bCs/>
          <w:sz w:val="24"/>
          <w:szCs w:val="24"/>
        </w:rPr>
        <w:t>八、合同争议解决的方式</w:t>
      </w:r>
    </w:p>
    <w:p w14:paraId="6CBFFD7A">
      <w:pPr>
        <w:spacing w:line="52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  <w:t>本合同在履行过程中发生的争议，由甲、乙双方当事人协商解决，协商不成的按下列第</w:t>
      </w:r>
      <w:r>
        <w:rPr>
          <w:rFonts w:hint="eastAsia" w:ascii="宋体" w:hAnsi="宋体" w:cs="仿宋_GB2312"/>
          <w:bCs/>
          <w:sz w:val="24"/>
          <w:szCs w:val="24"/>
          <w:u w:val="single"/>
        </w:rPr>
        <w:t>（</w:t>
      </w:r>
      <w:r>
        <w:rPr>
          <w:rFonts w:hint="eastAsia" w:ascii="宋体" w:hAnsi="宋体" w:cs="仿宋_GB2312"/>
          <w:bCs/>
          <w:sz w:val="24"/>
          <w:szCs w:val="24"/>
          <w:u w:val="single"/>
          <w:lang w:val="en-US" w:eastAsia="zh-CN"/>
        </w:rPr>
        <w:t>二</w:t>
      </w:r>
      <w:r>
        <w:rPr>
          <w:rFonts w:hint="eastAsia" w:ascii="宋体" w:hAnsi="宋体" w:cs="仿宋_GB2312"/>
          <w:bCs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  <w:t>种方式解决：</w:t>
      </w:r>
    </w:p>
    <w:p w14:paraId="678EAC1F">
      <w:pPr>
        <w:spacing w:line="52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</w:pPr>
      <w:r>
        <w:rPr>
          <w:rFonts w:hint="eastAsia" w:ascii="宋体" w:hAnsi="宋体" w:cs="仿宋_GB2312"/>
          <w:bCs/>
          <w:sz w:val="24"/>
          <w:szCs w:val="24"/>
        </w:rPr>
        <w:t>（一）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  <w:t>提交当地仲裁委员会仲裁；</w:t>
      </w:r>
    </w:p>
    <w:p w14:paraId="532990F3">
      <w:pPr>
        <w:spacing w:line="52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</w:pPr>
      <w:r>
        <w:rPr>
          <w:rFonts w:hint="eastAsia" w:ascii="宋体" w:hAnsi="宋体" w:cs="仿宋_GB2312"/>
          <w:bCs/>
          <w:sz w:val="24"/>
          <w:szCs w:val="24"/>
        </w:rPr>
        <w:t>（一）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  <w:t>依法向甲方所在地人民法院起诉。</w:t>
      </w:r>
    </w:p>
    <w:p w14:paraId="59A15539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/>
          <w:sz w:val="24"/>
          <w:szCs w:val="24"/>
        </w:rPr>
        <w:t>九、合同生效</w:t>
      </w:r>
    </w:p>
    <w:p w14:paraId="09B27CC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仿宋_GB2312"/>
          <w:bCs/>
          <w:sz w:val="24"/>
          <w:szCs w:val="24"/>
        </w:rPr>
        <w:t>、本合同须经甲、乙双方的法定代表人（授权代理人）在合同书上签字并加盖本单位公章后正实生效。</w:t>
      </w:r>
    </w:p>
    <w:p w14:paraId="21E7C2EE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cs="仿宋_GB2312"/>
          <w:bCs/>
          <w:sz w:val="24"/>
          <w:szCs w:val="24"/>
        </w:rPr>
        <w:t>、合同生效后，甲、乙双方须严格执行本合同条款的规定，全面履行合同，违者按《中华人民共和国民法典》的有关规定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及本合同约定</w:t>
      </w:r>
      <w:r>
        <w:rPr>
          <w:rFonts w:hint="eastAsia" w:ascii="宋体" w:hAnsi="宋体" w:cs="仿宋_GB2312"/>
          <w:bCs/>
          <w:sz w:val="24"/>
          <w:szCs w:val="24"/>
        </w:rPr>
        <w:t>承担相应责任。</w:t>
      </w:r>
    </w:p>
    <w:p w14:paraId="490CBD04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cs="仿宋_GB2312"/>
          <w:bCs/>
          <w:sz w:val="24"/>
          <w:szCs w:val="24"/>
        </w:rPr>
        <w:t>、本合同一式</w:t>
      </w:r>
      <w:r>
        <w:rPr>
          <w:rFonts w:hint="eastAsia" w:ascii="宋体" w:hAnsi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仿宋_GB2312"/>
          <w:bCs/>
          <w:sz w:val="24"/>
          <w:szCs w:val="24"/>
        </w:rPr>
        <w:t>份，甲乙双方各执</w:t>
      </w:r>
      <w:r>
        <w:rPr>
          <w:rFonts w:hint="eastAsia" w:ascii="宋体" w:hAnsi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仿宋_GB2312"/>
          <w:bCs/>
          <w:sz w:val="24"/>
          <w:szCs w:val="24"/>
        </w:rPr>
        <w:t>份</w:t>
      </w:r>
      <w:r>
        <w:rPr>
          <w:rFonts w:hint="eastAsia" w:ascii="宋体" w:hAnsi="宋体" w:cs="仿宋_GB2312"/>
          <w:bCs/>
          <w:sz w:val="24"/>
          <w:szCs w:val="24"/>
          <w:lang w:eastAsia="zh-CN"/>
        </w:rPr>
        <w:t>。</w:t>
      </w: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具有同等法律效力</w:t>
      </w:r>
      <w:r>
        <w:rPr>
          <w:rFonts w:hint="eastAsia" w:ascii="宋体" w:hAnsi="宋体" w:cs="仿宋_GB2312"/>
          <w:bCs/>
          <w:sz w:val="24"/>
          <w:szCs w:val="24"/>
        </w:rPr>
        <w:t>。</w:t>
      </w:r>
    </w:p>
    <w:p w14:paraId="05FBF31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cs="仿宋_GB2312"/>
          <w:bCs/>
          <w:sz w:val="24"/>
          <w:szCs w:val="24"/>
        </w:rPr>
      </w:pPr>
      <w:r>
        <w:rPr>
          <w:rFonts w:hint="eastAsia" w:ascii="宋体" w:hAnsi="宋体" w:cs="仿宋_GB2312"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cs="仿宋_GB2312"/>
          <w:bCs/>
          <w:sz w:val="24"/>
          <w:szCs w:val="24"/>
        </w:rPr>
        <w:t>、本合同如有未尽事宜，甲、乙双方协商解决。</w:t>
      </w:r>
    </w:p>
    <w:p w14:paraId="48AFFC84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仿宋_GB2312"/>
          <w:bCs/>
          <w:sz w:val="24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02E41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0C950A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甲方：</w:t>
            </w:r>
          </w:p>
        </w:tc>
        <w:tc>
          <w:tcPr>
            <w:tcW w:w="4202" w:type="dxa"/>
            <w:noWrap w:val="0"/>
            <w:vAlign w:val="center"/>
          </w:tcPr>
          <w:p w14:paraId="65F68B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乙方：</w:t>
            </w:r>
          </w:p>
        </w:tc>
      </w:tr>
      <w:tr w14:paraId="35364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DA42EC5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840" w:firstLineChars="350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12E2ECD6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960" w:firstLineChars="400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（盖章）</w:t>
            </w:r>
          </w:p>
        </w:tc>
      </w:tr>
      <w:tr w14:paraId="6F7878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497B43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地址：</w:t>
            </w:r>
          </w:p>
        </w:tc>
        <w:tc>
          <w:tcPr>
            <w:tcW w:w="4202" w:type="dxa"/>
            <w:noWrap w:val="0"/>
            <w:vAlign w:val="center"/>
          </w:tcPr>
          <w:p w14:paraId="2308B24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地址：</w:t>
            </w:r>
          </w:p>
        </w:tc>
      </w:tr>
      <w:tr w14:paraId="2A258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CD1ABC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038141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邮编：</w:t>
            </w:r>
          </w:p>
        </w:tc>
      </w:tr>
      <w:tr w14:paraId="46246F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2707504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法定代表人：</w:t>
            </w:r>
          </w:p>
        </w:tc>
        <w:tc>
          <w:tcPr>
            <w:tcW w:w="4202" w:type="dxa"/>
            <w:noWrap w:val="0"/>
            <w:vAlign w:val="center"/>
          </w:tcPr>
          <w:p w14:paraId="4EDBC9C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法定代表人：</w:t>
            </w:r>
          </w:p>
        </w:tc>
      </w:tr>
      <w:tr w14:paraId="14C446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6F8058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项目负责人：</w:t>
            </w:r>
          </w:p>
        </w:tc>
        <w:tc>
          <w:tcPr>
            <w:tcW w:w="4202" w:type="dxa"/>
            <w:noWrap w:val="0"/>
            <w:vAlign w:val="center"/>
          </w:tcPr>
          <w:p w14:paraId="645067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项目负责人：</w:t>
            </w:r>
          </w:p>
        </w:tc>
      </w:tr>
      <w:tr w14:paraId="1A665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702F08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5CC5565E">
            <w:pPr>
              <w:autoSpaceDE w:val="0"/>
              <w:autoSpaceDN w:val="0"/>
              <w:adjustRightInd w:val="0"/>
              <w:snapToGrid w:val="0"/>
              <w:spacing w:line="360" w:lineRule="auto"/>
              <w:ind w:left="720" w:hanging="720" w:hangingChars="300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电话：</w:t>
            </w:r>
          </w:p>
        </w:tc>
      </w:tr>
      <w:tr w14:paraId="1F200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26A2AB3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234B1C4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传真：</w:t>
            </w:r>
          </w:p>
        </w:tc>
      </w:tr>
      <w:tr w14:paraId="15B55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7F60107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04F7106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开户银行：</w:t>
            </w:r>
          </w:p>
        </w:tc>
      </w:tr>
      <w:tr w14:paraId="236DF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A215A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39D740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日期：</w:t>
            </w:r>
          </w:p>
        </w:tc>
      </w:tr>
    </w:tbl>
    <w:p w14:paraId="0023ED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5B41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4">
    <w:name w:val="Body Text First Indent"/>
    <w:basedOn w:val="2"/>
    <w:qFormat/>
    <w:uiPriority w:val="0"/>
    <w:pPr>
      <w:widowControl w:val="0"/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  <w:szCs w:val="24"/>
    </w:rPr>
  </w:style>
  <w:style w:type="paragraph" w:customStyle="1" w:styleId="7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8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9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2026-04-21T03:24:19Z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