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版本号：HDFX-2026-Z07420260421001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2026年度机关食堂餐饮服务项目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HDFX-2026-Z074</w:t>
      </w:r>
      <w:r>
        <w:br/>
      </w:r>
      <w:r>
        <w:br/>
      </w:r>
      <w:r>
        <w:br/>
      </w:r>
    </w:p>
    <w:p>
      <w:pPr>
        <w:pStyle w:val="null3"/>
        <w:jc w:val="center"/>
        <w:outlineLvl w:val="2"/>
      </w:pPr>
      <w:r>
        <w:rPr>
          <w:rFonts w:ascii="仿宋_GB2312" w:hAnsi="仿宋_GB2312" w:cs="仿宋_GB2312" w:eastAsia="仿宋_GB2312"/>
          <w:sz w:val="28"/>
          <w:b/>
        </w:rPr>
        <w:t>西安市信访局（本级）</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西安市信访局（本级）</w:t>
      </w:r>
      <w:r>
        <w:rPr>
          <w:rFonts w:ascii="仿宋_GB2312" w:hAnsi="仿宋_GB2312" w:cs="仿宋_GB2312" w:eastAsia="仿宋_GB2312"/>
        </w:rPr>
        <w:t>委托，拟对</w:t>
      </w:r>
      <w:r>
        <w:rPr>
          <w:rFonts w:ascii="仿宋_GB2312" w:hAnsi="仿宋_GB2312" w:cs="仿宋_GB2312" w:eastAsia="仿宋_GB2312"/>
        </w:rPr>
        <w:t>2026年度机关食堂餐饮服务项目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HDFX-2026-Z074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2026年度机关食堂餐饮服务项目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西安市信访局2026年度机关食堂餐饮服务，机关食堂餐饮服务内容包含：局级餐厅1个，干部职工餐厅1个，共2个餐厅，满足西安市信访局全体150余职工早、中（晚餐视情况而定）就餐。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采购包1（2026年度机关食堂餐饮服务）：属于专门面向中小企业采购。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w:t>
      </w:r>
    </w:p>
    <w:p>
      <w:pPr>
        <w:pStyle w:val="null3"/>
      </w:pPr>
      <w:r>
        <w:rPr>
          <w:rFonts w:ascii="仿宋_GB2312" w:hAnsi="仿宋_GB2312" w:cs="仿宋_GB2312" w:eastAsia="仿宋_GB2312"/>
        </w:rPr>
        <w:t>3、财务状况报告：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7、履行合同的书面承诺：承诺具备履行合同所必需的设备和专业技术能力。</w:t>
      </w:r>
    </w:p>
    <w:p>
      <w:pPr>
        <w:pStyle w:val="null3"/>
      </w:pPr>
      <w:r>
        <w:rPr>
          <w:rFonts w:ascii="仿宋_GB2312" w:hAnsi="仿宋_GB2312" w:cs="仿宋_GB2312" w:eastAsia="仿宋_GB2312"/>
        </w:rPr>
        <w:t>8、承诺书：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9、非联合体声明函：本项目不接受联合体投标。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西安市信访局（本级）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西安市碑林区盐店街19号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孙颖冰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029-87618603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2、服务费参照《国家计委关于印发&lt;招标代理服务收费管理暂行办法&gt;的通知》（计价格[2002]1980号）规定收取。若代理服务费不足6000元按6000元收取。3、成交单位服务费交纳信息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西安市信访局（本级）</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西安市信访局（本级）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西安市信访局（本级）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 （一）服务期满后，甲方根据合同要求，进行验收，确认服务标准和数量。验收合格后，填写政府采购项目验收单作为对项目的最终认可。 （二）验收依据： 1、采购文件、响应文件、澄清表（函）； 2、本合同及附件文本； 3、国家相应的标准、规范。 （三）乙方应向甲方提交项目实施过程中的所有资料，以便甲方日后管理和维护。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西安市信访局2026年度机关食堂餐饮服务，机关食堂餐饮服务内容包含：局级餐厅1个，干部职工餐厅1个，共2个餐厅，满足西安市信访局全体150余职工早、中（晚餐视情况而定）就餐。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423,800.00</w:t>
      </w:r>
    </w:p>
    <w:p>
      <w:pPr>
        <w:pStyle w:val="null3"/>
      </w:pPr>
      <w:r>
        <w:rPr>
          <w:rFonts w:ascii="仿宋_GB2312" w:hAnsi="仿宋_GB2312" w:cs="仿宋_GB2312" w:eastAsia="仿宋_GB2312"/>
        </w:rPr>
        <w:t>采购包最高限价（元）: 423,800.00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2026年度机关食堂餐饮服务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423,800.00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标的名称：2026年度机关食堂餐饮服务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西安市信访局</w:t>
            </w:r>
            <w:r>
              <w:rPr>
                <w:rFonts w:ascii="仿宋_GB2312" w:hAnsi="仿宋_GB2312" w:cs="仿宋_GB2312" w:eastAsia="仿宋_GB2312"/>
                <w:sz w:val="20"/>
              </w:rPr>
              <w:t>2026年度机关食堂餐饮服务，机关食堂餐饮服务内容包含：局级餐厅1个，干部职工餐厅1个，共2个餐厅，满足西安市信访局全体150余职工早、中（晚餐视情况而定）就餐。</w:t>
            </w:r>
          </w:p>
          <w:p>
            <w:pPr>
              <w:pStyle w:val="null3"/>
              <w:ind w:firstLine="402"/>
              <w:jc w:val="both"/>
            </w:pPr>
            <w:r>
              <w:rPr>
                <w:rFonts w:ascii="仿宋_GB2312" w:hAnsi="仿宋_GB2312" w:cs="仿宋_GB2312" w:eastAsia="仿宋_GB2312"/>
                <w:sz w:val="20"/>
                <w:b/>
              </w:rPr>
              <w:t>二、服务期限</w:t>
            </w:r>
            <w:r>
              <w:rPr>
                <w:rFonts w:ascii="仿宋_GB2312" w:hAnsi="仿宋_GB2312" w:cs="仿宋_GB2312" w:eastAsia="仿宋_GB2312"/>
                <w:sz w:val="20"/>
              </w:rPr>
              <w:t>：</w:t>
            </w:r>
            <w:r>
              <w:rPr>
                <w:rFonts w:ascii="仿宋_GB2312" w:hAnsi="仿宋_GB2312" w:cs="仿宋_GB2312" w:eastAsia="仿宋_GB2312"/>
                <w:sz w:val="20"/>
              </w:rPr>
              <w:t>合同签订后一年。</w:t>
            </w:r>
          </w:p>
          <w:p>
            <w:pPr>
              <w:pStyle w:val="null3"/>
              <w:ind w:firstLine="402"/>
              <w:jc w:val="both"/>
            </w:pPr>
            <w:r>
              <w:rPr>
                <w:rFonts w:ascii="仿宋_GB2312" w:hAnsi="仿宋_GB2312" w:cs="仿宋_GB2312" w:eastAsia="仿宋_GB2312"/>
                <w:sz w:val="20"/>
                <w:b/>
              </w:rPr>
              <w:t>三、服务内容</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1）局级餐厅</w:t>
            </w:r>
          </w:p>
          <w:tbl>
            <w:tblPr>
              <w:tblInd w:type="dxa" w:w="120"/>
              <w:tblBorders>
                <w:top w:val="none" w:color="000000" w:sz="4"/>
                <w:left w:val="none" w:color="000000" w:sz="4"/>
                <w:bottom w:val="none" w:color="000000" w:sz="4"/>
                <w:right w:val="none" w:color="000000" w:sz="4"/>
                <w:insideH w:val="none"/>
                <w:insideV w:val="none"/>
              </w:tblBorders>
            </w:tblPr>
            <w:tblGrid>
              <w:gridCol w:w="262"/>
              <w:gridCol w:w="481"/>
              <w:gridCol w:w="1361"/>
              <w:gridCol w:w="431"/>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供餐时间</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供餐内容</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供餐要求</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早餐</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08:00-08:50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菜品不少于</w:t>
                  </w:r>
                  <w:r>
                    <w:rPr>
                      <w:rFonts w:ascii="仿宋_GB2312" w:hAnsi="仿宋_GB2312" w:cs="仿宋_GB2312" w:eastAsia="仿宋_GB2312"/>
                      <w:sz w:val="20"/>
                    </w:rPr>
                    <w:t>6 种，其中半荤菜不少于 1 种；开口小菜不少于4种；稀饭不少于 2 种；奶制品不少 1 种；主食不少于4种；鸡蛋（蒸煮或煎）；豆浆或豆腐脑。能够满足部分回民饮食习惯。</w:t>
                  </w:r>
                </w:p>
              </w:tc>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实行工作日正常供餐和采购方要求桌餐或指定时间供餐，供餐模式为自助式供餐，桌餐：按采购方指定菜品供餐。</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午餐</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12:00-13:00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菜品不少于</w:t>
                  </w:r>
                  <w:r>
                    <w:rPr>
                      <w:rFonts w:ascii="仿宋_GB2312" w:hAnsi="仿宋_GB2312" w:cs="仿宋_GB2312" w:eastAsia="仿宋_GB2312"/>
                      <w:sz w:val="20"/>
                    </w:rPr>
                    <w:t>6 种，其中主荤 1 种，半荤 2 种，素菜 4 种；开口小菜不少于 4种；小吃不少于4种；主食不少于 3 种；水果不少于 1 种、汤品不少于 2 种（一荤一素）；酸奶。能够满足部分回民饮食习惯。</w:t>
                  </w:r>
                </w:p>
              </w:tc>
              <w:tc>
                <w:tcPr>
                  <w:tcW w:type="dxa" w:w="431"/>
                  <w:vMerge/>
                  <w:tcBorders>
                    <w:top w:val="none" w:color="000000" w:sz="4"/>
                    <w:left w:val="single" w:color="000000" w:sz="4"/>
                    <w:bottom w:val="single" w:color="000000" w:sz="4"/>
                    <w:right w:val="single" w:color="000000" w:sz="4"/>
                  </w:tcBorders>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晚餐</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18:00-19:00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根据采购方需要提供</w:t>
                  </w:r>
                </w:p>
              </w:tc>
              <w:tc>
                <w:tcPr>
                  <w:tcW w:type="dxa" w:w="431"/>
                  <w:vMerge/>
                  <w:tcBorders>
                    <w:top w:val="none" w:color="000000" w:sz="4"/>
                    <w:left w:val="single" w:color="000000" w:sz="4"/>
                    <w:bottom w:val="single" w:color="000000" w:sz="4"/>
                    <w:right w:val="single" w:color="000000" w:sz="4"/>
                  </w:tcBorders>
                </w:tcPr>
                <w:p/>
              </w:tc>
            </w:tr>
          </w:tbl>
          <w:p>
            <w:pPr>
              <w:pStyle w:val="null3"/>
              <w:ind w:firstLine="400"/>
              <w:jc w:val="both"/>
            </w:pPr>
            <w:r>
              <w:rPr>
                <w:rFonts w:ascii="仿宋_GB2312" w:hAnsi="仿宋_GB2312" w:cs="仿宋_GB2312" w:eastAsia="仿宋_GB2312"/>
                <w:sz w:val="20"/>
                <w:b/>
              </w:rPr>
              <w:t>（</w:t>
            </w:r>
            <w:r>
              <w:rPr>
                <w:rFonts w:ascii="仿宋_GB2312" w:hAnsi="仿宋_GB2312" w:cs="仿宋_GB2312" w:eastAsia="仿宋_GB2312"/>
                <w:sz w:val="20"/>
                <w:b/>
              </w:rPr>
              <w:t>2）干部餐厅</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479"/>
              <w:gridCol w:w="1361"/>
              <w:gridCol w:w="435"/>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供餐时间</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供餐内容</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供餐要求</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早餐</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08:00-08:50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菜品不少于</w:t>
                  </w:r>
                  <w:r>
                    <w:rPr>
                      <w:rFonts w:ascii="仿宋_GB2312" w:hAnsi="仿宋_GB2312" w:cs="仿宋_GB2312" w:eastAsia="仿宋_GB2312"/>
                      <w:sz w:val="20"/>
                    </w:rPr>
                    <w:t>4种；馒头、包子、花卷、油饼、油条等主食不少于 4 种；稀饭、豆腐脑、油茶等汤品类主食不少于 3种；酸奶（或牛奶） 和鸡蛋为除主副食之外的每日早餐标配。</w:t>
                  </w:r>
                </w:p>
              </w:tc>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实行工作日正常供餐、少数接待用餐及节假日采购方要求供餐。</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午餐</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12:00-13:00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菜品不少于</w:t>
                  </w:r>
                  <w:r>
                    <w:rPr>
                      <w:rFonts w:ascii="仿宋_GB2312" w:hAnsi="仿宋_GB2312" w:cs="仿宋_GB2312" w:eastAsia="仿宋_GB2312"/>
                      <w:sz w:val="20"/>
                    </w:rPr>
                    <w:t>5种，其中主荤主菜 1 种、半荤菜品 2 种、素菜 2 种；小吃和面食必须搭配开口菜和杂粮，开口菜数量不少于2种；杂粮数量不少于 2 种；餐厅免费供应的米饭品种不少于 2 种； 汤品品种不少于 1 种；水果 1 种为每日中餐标配。</w:t>
                  </w:r>
                </w:p>
              </w:tc>
              <w:tc>
                <w:tcPr>
                  <w:tcW w:type="dxa" w:w="435"/>
                  <w:vMerge/>
                  <w:tcBorders>
                    <w:top w:val="none" w:color="000000" w:sz="4"/>
                    <w:left w:val="single" w:color="000000" w:sz="4"/>
                    <w:bottom w:val="single" w:color="000000" w:sz="4"/>
                    <w:right w:val="single" w:color="000000" w:sz="4"/>
                  </w:tcBorders>
                </w:tcP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晚餐</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18:00-19:00</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根据采购方需要提供</w:t>
                  </w:r>
                </w:p>
              </w:tc>
              <w:tc>
                <w:tcPr>
                  <w:tcW w:type="dxa" w:w="435"/>
                  <w:vMerge/>
                  <w:tcBorders>
                    <w:top w:val="none" w:color="000000" w:sz="4"/>
                    <w:left w:val="single" w:color="000000" w:sz="4"/>
                    <w:bottom w:val="single" w:color="000000" w:sz="4"/>
                    <w:right w:val="single" w:color="000000" w:sz="4"/>
                  </w:tcBorders>
                </w:tcPr>
                <w:p/>
              </w:tc>
            </w:tr>
          </w:tbl>
          <w:p>
            <w:pPr>
              <w:pStyle w:val="null3"/>
              <w:ind w:firstLine="402"/>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rPr>
              <w:t>餐饮服务人员需提供</w:t>
            </w:r>
            <w:r>
              <w:rPr>
                <w:rFonts w:ascii="仿宋_GB2312" w:hAnsi="仿宋_GB2312" w:cs="仿宋_GB2312" w:eastAsia="仿宋_GB2312"/>
                <w:sz w:val="20"/>
              </w:rPr>
              <w:t>15人。</w:t>
            </w:r>
          </w:p>
          <w:p>
            <w:pPr>
              <w:pStyle w:val="null3"/>
              <w:ind w:firstLine="400"/>
              <w:jc w:val="both"/>
            </w:pPr>
            <w:r>
              <w:rPr>
                <w:rFonts w:ascii="仿宋_GB2312" w:hAnsi="仿宋_GB2312" w:cs="仿宋_GB2312" w:eastAsia="仿宋_GB2312"/>
                <w:sz w:val="20"/>
              </w:rPr>
              <w:t>1、餐饮服务人员配置</w:t>
            </w:r>
          </w:p>
          <w:tbl>
            <w:tblPr>
              <w:tblInd w:type="dxa" w:w="135"/>
              <w:tblBorders>
                <w:top w:val="none" w:color="000000" w:sz="4"/>
                <w:left w:val="none" w:color="000000" w:sz="4"/>
                <w:bottom w:val="none" w:color="000000" w:sz="4"/>
                <w:right w:val="none" w:color="000000" w:sz="4"/>
                <w:insideH w:val="none"/>
                <w:insideV w:val="none"/>
              </w:tblBorders>
            </w:tblPr>
            <w:tblGrid>
              <w:gridCol w:w="497"/>
              <w:gridCol w:w="431"/>
              <w:gridCol w:w="317"/>
              <w:gridCol w:w="1295"/>
            </w:tblGrid>
            <w:tr>
              <w:tc>
                <w:tcPr>
                  <w:tcW w:type="dxa" w:w="497"/>
                  <w:tcBorders>
                    <w:top w:val="single" w:color="000000" w:sz="8"/>
                    <w:left w:val="single" w:color="000000" w:sz="8"/>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431"/>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岗位名称</w:t>
                  </w:r>
                </w:p>
              </w:tc>
              <w:tc>
                <w:tcPr>
                  <w:tcW w:type="dxa" w:w="317"/>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人数</w:t>
                  </w:r>
                </w:p>
              </w:tc>
              <w:tc>
                <w:tcPr>
                  <w:tcW w:type="dxa" w:w="1295"/>
                  <w:tcBorders>
                    <w:top w:val="single" w:color="000000" w:sz="8"/>
                    <w:left w:val="single" w:color="000000" w:sz="4"/>
                    <w:bottom w:val="single" w:color="000000" w:sz="4"/>
                    <w:right w:val="single" w:color="000000" w:sz="8"/>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岗位要求</w:t>
                  </w:r>
                </w:p>
              </w:tc>
            </w:tr>
            <w:tr>
              <w:tc>
                <w:tcPr>
                  <w:tcW w:type="dxa" w:w="497"/>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餐饮服务人员</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餐厅经理</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95"/>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中级管理人员，</w:t>
                  </w:r>
                  <w:r>
                    <w:rPr>
                      <w:rFonts w:ascii="仿宋_GB2312" w:hAnsi="仿宋_GB2312" w:cs="仿宋_GB2312" w:eastAsia="仿宋_GB2312"/>
                      <w:sz w:val="20"/>
                    </w:rPr>
                    <w:t>30-50岁之间，高中以上学历，受过专业知识培训，具有五年以上丰富的餐饮管理经验； 熟悉成本核算和费用管控；具有较好的组织安排和协调能力，持健康证上岗。</w:t>
                  </w:r>
                </w:p>
              </w:tc>
            </w:tr>
            <w:tr>
              <w:tc>
                <w:tcPr>
                  <w:tcW w:type="dxa" w:w="497"/>
                  <w:vMerge/>
                  <w:tcBorders>
                    <w:top w:val="none" w:color="000000" w:sz="4"/>
                    <w:left w:val="single" w:color="000000" w:sz="8"/>
                    <w:bottom w:val="single" w:color="000000" w:sz="4"/>
                    <w:right w:val="single" w:color="000000" w:sz="4"/>
                  </w:tcBorders>
                </w:tcP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厨师长</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高级</w:t>
                  </w:r>
                  <w:r>
                    <w:rPr>
                      <w:rFonts w:ascii="仿宋_GB2312" w:hAnsi="仿宋_GB2312" w:cs="仿宋_GB2312" w:eastAsia="仿宋_GB2312"/>
                      <w:sz w:val="20"/>
                    </w:rPr>
                    <w:t>1人，高中以上文化程度；五年以上团餐工作经验，懂成本核算和厨房管理；工作认真负责，有创新精神，持健康证上岗。</w:t>
                  </w:r>
                </w:p>
              </w:tc>
            </w:tr>
            <w:tr>
              <w:tc>
                <w:tcPr>
                  <w:tcW w:type="dxa" w:w="497"/>
                  <w:vMerge/>
                  <w:tcBorders>
                    <w:top w:val="none" w:color="000000" w:sz="4"/>
                    <w:left w:val="single" w:color="000000" w:sz="8"/>
                    <w:bottom w:val="single" w:color="000000" w:sz="4"/>
                    <w:right w:val="single" w:color="000000" w:sz="4"/>
                  </w:tcBorders>
                </w:tcP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炒锅</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高级</w:t>
                  </w:r>
                  <w:r>
                    <w:rPr>
                      <w:rFonts w:ascii="仿宋_GB2312" w:hAnsi="仿宋_GB2312" w:cs="仿宋_GB2312" w:eastAsia="仿宋_GB2312"/>
                      <w:sz w:val="20"/>
                    </w:rPr>
                    <w:t>1人，中级1人，三年以上本岗位工作经验，熟悉各种炒菜的制作工艺和技能；工作认真，有较强的产品创新能力，能够熟练制作菜品；责任心强，爱岗敬业，持健康证上岗。</w:t>
                  </w:r>
                </w:p>
              </w:tc>
            </w:tr>
            <w:tr>
              <w:tc>
                <w:tcPr>
                  <w:tcW w:type="dxa" w:w="497"/>
                  <w:vMerge/>
                  <w:tcBorders>
                    <w:top w:val="none" w:color="000000" w:sz="4"/>
                    <w:left w:val="single" w:color="000000" w:sz="8"/>
                    <w:bottom w:val="single" w:color="000000" w:sz="4"/>
                    <w:right w:val="single" w:color="000000" w:sz="4"/>
                  </w:tcBorders>
                </w:tcP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凉菜师</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中级</w:t>
                  </w:r>
                  <w:r>
                    <w:rPr>
                      <w:rFonts w:ascii="仿宋_GB2312" w:hAnsi="仿宋_GB2312" w:cs="仿宋_GB2312" w:eastAsia="仿宋_GB2312"/>
                      <w:sz w:val="20"/>
                    </w:rPr>
                    <w:t>1人，三年以上本岗位工作经验，熟悉各种凉菜的制作工艺和技能；工作认真，有较强的产品创新能力，能够熟练制作菜品；责任心强，爱岗敬业，持健康证上岗。</w:t>
                  </w:r>
                </w:p>
              </w:tc>
            </w:tr>
            <w:tr>
              <w:tc>
                <w:tcPr>
                  <w:tcW w:type="dxa" w:w="497"/>
                  <w:vMerge/>
                  <w:tcBorders>
                    <w:top w:val="none" w:color="000000" w:sz="4"/>
                    <w:left w:val="single" w:color="000000" w:sz="8"/>
                    <w:bottom w:val="single" w:color="000000" w:sz="4"/>
                    <w:right w:val="single" w:color="000000" w:sz="4"/>
                  </w:tcBorders>
                </w:tcP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切配</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中级</w:t>
                  </w:r>
                  <w:r>
                    <w:rPr>
                      <w:rFonts w:ascii="仿宋_GB2312" w:hAnsi="仿宋_GB2312" w:cs="仿宋_GB2312" w:eastAsia="仿宋_GB2312"/>
                      <w:sz w:val="20"/>
                    </w:rPr>
                    <w:t>1人，初级1人，18-45岁，初中以上学历，熟悉烹饪工艺知识；具有熟练的刀工技术，懂得各类原料的加工及保存方法，持健康证上岗。</w:t>
                  </w:r>
                </w:p>
              </w:tc>
            </w:tr>
            <w:tr>
              <w:tc>
                <w:tcPr>
                  <w:tcW w:type="dxa" w:w="497"/>
                  <w:vMerge/>
                  <w:tcBorders>
                    <w:top w:val="none" w:color="000000" w:sz="4"/>
                    <w:left w:val="single" w:color="000000" w:sz="8"/>
                    <w:bottom w:val="single" w:color="000000" w:sz="4"/>
                    <w:right w:val="single" w:color="000000" w:sz="4"/>
                  </w:tcBorders>
                </w:tcP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面案</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高级</w:t>
                  </w:r>
                  <w:r>
                    <w:rPr>
                      <w:rFonts w:ascii="仿宋_GB2312" w:hAnsi="仿宋_GB2312" w:cs="仿宋_GB2312" w:eastAsia="仿宋_GB2312"/>
                      <w:sz w:val="20"/>
                    </w:rPr>
                    <w:t>1人，中级1人，三年以上面点工作经验，熟悉各类面点制作工艺和技能；工作认真，具有较强的产品创新能力，能够熟练制作各种面食；工作责任心强，爱岗敬业，持健康证上岗。</w:t>
                  </w:r>
                </w:p>
              </w:tc>
            </w:tr>
            <w:tr>
              <w:tc>
                <w:tcPr>
                  <w:tcW w:type="dxa" w:w="497"/>
                  <w:vMerge/>
                  <w:tcBorders>
                    <w:top w:val="none" w:color="000000" w:sz="4"/>
                    <w:left w:val="single" w:color="000000" w:sz="8"/>
                    <w:bottom w:val="single" w:color="000000" w:sz="4"/>
                    <w:right w:val="single" w:color="000000" w:sz="4"/>
                  </w:tcBorders>
                </w:tcP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服务员</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18-45岁，具有初中及以上学历，受过专业培训，有餐厅服务工作经验；口齿清楚，持健康证上岗</w:t>
                  </w:r>
                </w:p>
              </w:tc>
            </w:tr>
            <w:tr>
              <w:tc>
                <w:tcPr>
                  <w:tcW w:type="dxa" w:w="497"/>
                  <w:vMerge/>
                  <w:tcBorders>
                    <w:top w:val="none" w:color="000000" w:sz="4"/>
                    <w:left w:val="single" w:color="000000" w:sz="8"/>
                    <w:bottom w:val="single" w:color="000000" w:sz="4"/>
                    <w:right w:val="single" w:color="000000" w:sz="4"/>
                  </w:tcBorders>
                </w:tcP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洗消</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9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18-50岁，工作勤恳，认真负责,吃苦耐劳，持健康证上岗。</w:t>
                  </w:r>
                </w:p>
              </w:tc>
            </w:tr>
            <w:tr>
              <w:tc>
                <w:tcPr>
                  <w:tcW w:type="dxa" w:w="928"/>
                  <w:gridSpan w:val="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31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15人</w:t>
                  </w:r>
                </w:p>
              </w:tc>
              <w:tc>
                <w:tcPr>
                  <w:tcW w:type="dxa" w:w="129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注：本项目招标费用仅包含餐饮服务人员工资。</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、商务要求</w:t>
            </w:r>
          </w:p>
          <w:p>
            <w:pPr>
              <w:pStyle w:val="null3"/>
              <w:ind w:firstLine="400"/>
              <w:jc w:val="both"/>
            </w:pPr>
            <w:r>
              <w:rPr>
                <w:rFonts w:ascii="仿宋_GB2312" w:hAnsi="仿宋_GB2312" w:cs="仿宋_GB2312" w:eastAsia="仿宋_GB2312"/>
                <w:sz w:val="20"/>
              </w:rPr>
              <w:t>(一)、服</w:t>
            </w:r>
            <w:r>
              <w:rPr>
                <w:rFonts w:ascii="仿宋_GB2312" w:hAnsi="仿宋_GB2312" w:cs="仿宋_GB2312" w:eastAsia="仿宋_GB2312"/>
                <w:sz w:val="20"/>
              </w:rPr>
              <w:t>务期限：</w:t>
            </w:r>
            <w:r>
              <w:rPr>
                <w:rFonts w:ascii="仿宋_GB2312" w:hAnsi="仿宋_GB2312" w:cs="仿宋_GB2312" w:eastAsia="仿宋_GB2312"/>
                <w:sz w:val="20"/>
              </w:rPr>
              <w:t>合同签订后一年。</w:t>
            </w:r>
          </w:p>
          <w:p>
            <w:pPr>
              <w:pStyle w:val="null3"/>
              <w:ind w:firstLine="400"/>
              <w:jc w:val="both"/>
            </w:pPr>
            <w:r>
              <w:rPr>
                <w:rFonts w:ascii="仿宋_GB2312" w:hAnsi="仿宋_GB2312" w:cs="仿宋_GB2312" w:eastAsia="仿宋_GB2312"/>
                <w:sz w:val="20"/>
              </w:rPr>
              <w:t>(二)、服务地点：西安市碑林区盐店街19号</w:t>
            </w:r>
          </w:p>
          <w:p>
            <w:pPr>
              <w:pStyle w:val="null3"/>
              <w:ind w:firstLine="400"/>
              <w:jc w:val="both"/>
            </w:pPr>
            <w:r>
              <w:rPr>
                <w:rFonts w:ascii="仿宋_GB2312" w:hAnsi="仿宋_GB2312" w:cs="仿宋_GB2312" w:eastAsia="仿宋_GB2312"/>
                <w:sz w:val="20"/>
              </w:rPr>
              <w:t>(三)、款项结算</w:t>
            </w:r>
          </w:p>
          <w:p>
            <w:pPr>
              <w:pStyle w:val="null3"/>
              <w:ind w:firstLine="400"/>
              <w:jc w:val="both"/>
            </w:pPr>
            <w:r>
              <w:rPr>
                <w:rFonts w:ascii="仿宋_GB2312" w:hAnsi="仿宋_GB2312" w:cs="仿宋_GB2312" w:eastAsia="仿宋_GB2312"/>
                <w:sz w:val="20"/>
              </w:rPr>
              <w:t>合同签订后按月支付，乙方开具等额的增值税普通发票，</w:t>
            </w:r>
            <w:r>
              <w:rPr>
                <w:rFonts w:ascii="仿宋_GB2312" w:hAnsi="仿宋_GB2312" w:cs="仿宋_GB2312" w:eastAsia="仿宋_GB2312"/>
                <w:sz w:val="20"/>
              </w:rPr>
              <w:t>甲方</w:t>
            </w:r>
            <w:r>
              <w:rPr>
                <w:rFonts w:ascii="仿宋_GB2312" w:hAnsi="仿宋_GB2312" w:cs="仿宋_GB2312" w:eastAsia="仿宋_GB2312"/>
                <w:sz w:val="20"/>
              </w:rPr>
              <w:t>应当自收到发票之日起</w:t>
            </w:r>
            <w:r>
              <w:rPr>
                <w:rFonts w:ascii="仿宋_GB2312" w:hAnsi="仿宋_GB2312" w:cs="仿宋_GB2312" w:eastAsia="仿宋_GB2312"/>
                <w:sz w:val="20"/>
              </w:rPr>
              <w:t>1</w:t>
            </w:r>
            <w:r>
              <w:rPr>
                <w:rFonts w:ascii="仿宋_GB2312" w:hAnsi="仿宋_GB2312" w:cs="仿宋_GB2312" w:eastAsia="仿宋_GB2312"/>
                <w:sz w:val="20"/>
              </w:rPr>
              <w:t>0日内支付款项。</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服务要求</w:t>
            </w:r>
          </w:p>
          <w:p>
            <w:pPr>
              <w:pStyle w:val="null3"/>
              <w:ind w:firstLine="400"/>
              <w:jc w:val="both"/>
            </w:pPr>
            <w:r>
              <w:rPr>
                <w:rFonts w:ascii="仿宋_GB2312" w:hAnsi="仿宋_GB2312" w:cs="仿宋_GB2312" w:eastAsia="仿宋_GB2312"/>
                <w:sz w:val="20"/>
              </w:rPr>
              <w:t>1、供应商必须按照采购人的要求，按时保质、保量地提供优质服务，保证采购人满意。供应商不得分包转包所中标项目。</w:t>
            </w:r>
          </w:p>
          <w:p>
            <w:pPr>
              <w:pStyle w:val="null3"/>
              <w:ind w:firstLine="400"/>
              <w:jc w:val="both"/>
            </w:pPr>
            <w:r>
              <w:rPr>
                <w:rFonts w:ascii="仿宋_GB2312" w:hAnsi="仿宋_GB2312" w:cs="仿宋_GB2312" w:eastAsia="仿宋_GB2312"/>
                <w:sz w:val="20"/>
              </w:rPr>
              <w:t>2、对于采购人提出的问题，供应商应该积极主动整改。</w:t>
            </w:r>
          </w:p>
          <w:p>
            <w:pPr>
              <w:pStyle w:val="null3"/>
              <w:ind w:firstLine="400"/>
              <w:jc w:val="both"/>
            </w:pPr>
            <w:r>
              <w:rPr>
                <w:rFonts w:ascii="仿宋_GB2312" w:hAnsi="仿宋_GB2312" w:cs="仿宋_GB2312" w:eastAsia="仿宋_GB2312"/>
                <w:sz w:val="20"/>
              </w:rPr>
              <w:t>3、供应商的工作人员必须遵守采购人的管理制度，服从采购人的管理。</w:t>
            </w:r>
          </w:p>
          <w:p>
            <w:pPr>
              <w:pStyle w:val="null3"/>
              <w:ind w:firstLine="400"/>
              <w:jc w:val="both"/>
            </w:pPr>
            <w:r>
              <w:rPr>
                <w:rFonts w:ascii="仿宋_GB2312" w:hAnsi="仿宋_GB2312" w:cs="仿宋_GB2312" w:eastAsia="仿宋_GB2312"/>
                <w:sz w:val="20"/>
              </w:rPr>
              <w:t>4、供应商用工制度按照工作需要自行制订，应严格按照国家相关法律、法规执行。</w:t>
            </w:r>
          </w:p>
          <w:p>
            <w:pPr>
              <w:pStyle w:val="null3"/>
              <w:ind w:firstLine="400"/>
              <w:jc w:val="both"/>
            </w:pPr>
            <w:r>
              <w:rPr>
                <w:rFonts w:ascii="仿宋_GB2312" w:hAnsi="仿宋_GB2312" w:cs="仿宋_GB2312" w:eastAsia="仿宋_GB2312"/>
                <w:sz w:val="20"/>
              </w:rPr>
              <w:t>5、采购人要将各项管理规定及时通报供应商掌握，供应商将相关管理制度及人员岗位流动情况第一时间报采购人备案，如发生工作人员生病住院或事假，乙方应保证候补应急人员及时到位，且所替换人员不低于原服务人员资格。</w:t>
            </w:r>
          </w:p>
          <w:p>
            <w:pPr>
              <w:pStyle w:val="null3"/>
              <w:ind w:firstLine="400"/>
              <w:jc w:val="both"/>
            </w:pPr>
            <w:r>
              <w:rPr>
                <w:rFonts w:ascii="仿宋_GB2312" w:hAnsi="仿宋_GB2312" w:cs="仿宋_GB2312" w:eastAsia="仿宋_GB2312"/>
                <w:sz w:val="20"/>
              </w:rPr>
              <w:t>6、供应商人员要遵守采购人的各项管理规定和管理制度，对工作人员的管理要求（如上下班考勤、作息时间、员工宿舍卫生整洁、完全服从采购人日常规定或管理要求等），违反者通报供应商并按照采购人相关规定及管理制度处罚。</w:t>
            </w:r>
          </w:p>
          <w:p>
            <w:pPr>
              <w:pStyle w:val="null3"/>
              <w:ind w:firstLine="400"/>
              <w:jc w:val="both"/>
            </w:pPr>
            <w:r>
              <w:rPr>
                <w:rFonts w:ascii="仿宋_GB2312" w:hAnsi="仿宋_GB2312" w:cs="仿宋_GB2312" w:eastAsia="仿宋_GB2312"/>
                <w:sz w:val="20"/>
              </w:rPr>
              <w:t>7、供应商在承包期间，应严格执行《食品安全法》，防止食物中毒，由于管理不善或供应商人员操作等因素引发的食品卫生安全事件，由供应商负全部责任，赔偿因此给采购人造成的行政事业罚款等相关费用，由供应商无条件进行善后处理，采购人配合。</w:t>
            </w:r>
          </w:p>
          <w:p>
            <w:pPr>
              <w:pStyle w:val="null3"/>
              <w:ind w:firstLine="400"/>
              <w:jc w:val="both"/>
            </w:pPr>
            <w:r>
              <w:rPr>
                <w:rFonts w:ascii="仿宋_GB2312" w:hAnsi="仿宋_GB2312" w:cs="仿宋_GB2312" w:eastAsia="仿宋_GB2312"/>
                <w:sz w:val="20"/>
              </w:rPr>
              <w:t>8、供应商应按照操作规范使用厨房设备，爱惜公共财物，如因供应商使用不当，人为因素造成的设备损坏，要求供应商要恢复其使用效果，还要予以经济处罚。</w:t>
            </w:r>
          </w:p>
          <w:p>
            <w:pPr>
              <w:pStyle w:val="null3"/>
              <w:ind w:firstLine="400"/>
              <w:jc w:val="both"/>
            </w:pPr>
            <w:r>
              <w:rPr>
                <w:rFonts w:ascii="仿宋_GB2312" w:hAnsi="仿宋_GB2312" w:cs="仿宋_GB2312" w:eastAsia="仿宋_GB2312"/>
                <w:sz w:val="20"/>
              </w:rPr>
              <w:t>9、供应商提供工作人员劳务合同报甲方备案；社会保险缴纳凭证、意外伤害险保险购买凭证，应在每次结算费用时提交甲方备查。</w:t>
            </w:r>
          </w:p>
          <w:p>
            <w:pPr>
              <w:pStyle w:val="null3"/>
              <w:ind w:firstLine="400"/>
              <w:jc w:val="both"/>
            </w:pPr>
            <w:r>
              <w:rPr>
                <w:rFonts w:ascii="仿宋_GB2312" w:hAnsi="仿宋_GB2312" w:cs="仿宋_GB2312" w:eastAsia="仿宋_GB2312"/>
                <w:sz w:val="20"/>
              </w:rPr>
              <w:t>10、设置一名项目经理负责项目全部事宜。</w:t>
            </w:r>
          </w:p>
          <w:p>
            <w:pPr>
              <w:pStyle w:val="null3"/>
              <w:ind w:firstLine="402"/>
              <w:jc w:val="both"/>
            </w:pPr>
            <w:r>
              <w:rPr>
                <w:rFonts w:ascii="仿宋_GB2312" w:hAnsi="仿宋_GB2312" w:cs="仿宋_GB2312" w:eastAsia="仿宋_GB2312"/>
                <w:sz w:val="20"/>
                <w:b/>
              </w:rPr>
              <w:t>★1</w:t>
            </w:r>
            <w:r>
              <w:rPr>
                <w:rFonts w:ascii="仿宋_GB2312" w:hAnsi="仿宋_GB2312" w:cs="仿宋_GB2312" w:eastAsia="仿宋_GB2312"/>
                <w:sz w:val="20"/>
                <w:b/>
              </w:rPr>
              <w:t>1</w:t>
            </w:r>
            <w:r>
              <w:rPr>
                <w:rFonts w:ascii="仿宋_GB2312" w:hAnsi="仿宋_GB2312" w:cs="仿宋_GB2312" w:eastAsia="仿宋_GB2312"/>
                <w:sz w:val="20"/>
                <w:b/>
              </w:rPr>
              <w:t>、供应商须保证服务期限内的人员稳定性，为服务人员缴纳社会保险，在三年内没有发生过食品安全事故</w:t>
            </w:r>
            <w:r>
              <w:rPr>
                <w:rFonts w:ascii="仿宋_GB2312" w:hAnsi="仿宋_GB2312" w:cs="仿宋_GB2312" w:eastAsia="仿宋_GB2312"/>
                <w:sz w:val="20"/>
                <w:b/>
              </w:rPr>
              <w:t>（</w:t>
            </w:r>
            <w:r>
              <w:rPr>
                <w:rFonts w:ascii="仿宋_GB2312" w:hAnsi="仿宋_GB2312" w:cs="仿宋_GB2312" w:eastAsia="仿宋_GB2312"/>
                <w:sz w:val="20"/>
                <w:b/>
              </w:rPr>
              <w:t>须</w:t>
            </w:r>
            <w:r>
              <w:rPr>
                <w:rFonts w:ascii="仿宋_GB2312" w:hAnsi="仿宋_GB2312" w:cs="仿宋_GB2312" w:eastAsia="仿宋_GB2312"/>
                <w:sz w:val="20"/>
                <w:b/>
              </w:rPr>
              <w:t>提供承诺</w:t>
            </w:r>
            <w:r>
              <w:rPr>
                <w:rFonts w:ascii="仿宋_GB2312" w:hAnsi="仿宋_GB2312" w:cs="仿宋_GB2312" w:eastAsia="仿宋_GB2312"/>
                <w:sz w:val="20"/>
                <w:b/>
              </w:rPr>
              <w:t>函</w:t>
            </w:r>
            <w:r>
              <w:rPr>
                <w:rFonts w:ascii="仿宋_GB2312" w:hAnsi="仿宋_GB2312" w:cs="仿宋_GB2312" w:eastAsia="仿宋_GB2312"/>
                <w:sz w:val="20"/>
                <w:b/>
              </w:rPr>
              <w:t>）</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12、供应商应当对涉及采购人的信息严格保密，未经采购人许可，不得将信息泄露给第三方。否则，采购人保留追究法律责任的权利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七、</w:t>
            </w:r>
            <w:r>
              <w:rPr>
                <w:rFonts w:ascii="仿宋_GB2312" w:hAnsi="仿宋_GB2312" w:cs="仿宋_GB2312" w:eastAsia="仿宋_GB2312"/>
                <w:sz w:val="20"/>
                <w:b/>
              </w:rPr>
              <w:t>服务标准</w:t>
            </w:r>
          </w:p>
          <w:p>
            <w:pPr>
              <w:pStyle w:val="null3"/>
              <w:ind w:firstLine="400"/>
              <w:jc w:val="both"/>
            </w:pPr>
            <w:r>
              <w:rPr>
                <w:rFonts w:ascii="仿宋_GB2312" w:hAnsi="仿宋_GB2312" w:cs="仿宋_GB2312" w:eastAsia="仿宋_GB2312"/>
                <w:sz w:val="20"/>
              </w:rPr>
              <w:t>1、供应商按《食品安全法》及采购人要求做好员工餐厅的服务，为员工提供安全、卫生、可口、周到的就餐服务。</w:t>
            </w:r>
          </w:p>
          <w:p>
            <w:pPr>
              <w:pStyle w:val="null3"/>
              <w:ind w:firstLine="400"/>
              <w:jc w:val="both"/>
            </w:pPr>
            <w:r>
              <w:rPr>
                <w:rFonts w:ascii="仿宋_GB2312" w:hAnsi="仿宋_GB2312" w:cs="仿宋_GB2312" w:eastAsia="仿宋_GB2312"/>
                <w:sz w:val="20"/>
              </w:rPr>
              <w:t>2、供应商后厨工作人员应牢固树立食品卫生安全意识，拒绝加工过期、霉变及“三无”食材，不将闲杂人等带入后厨操作间，带病不上岗，保持个人卫生清洁。</w:t>
            </w:r>
          </w:p>
          <w:p>
            <w:pPr>
              <w:pStyle w:val="null3"/>
              <w:ind w:firstLine="400"/>
              <w:jc w:val="both"/>
            </w:pPr>
            <w:r>
              <w:rPr>
                <w:rFonts w:ascii="仿宋_GB2312" w:hAnsi="仿宋_GB2312" w:cs="仿宋_GB2312" w:eastAsia="仿宋_GB2312"/>
                <w:sz w:val="20"/>
              </w:rPr>
              <w:t>3、供应商从业人员应廉洁自律，禁止食堂工作人员私自倒卖原材料。食堂各类食材、工器具禁止私用私留或移为他用。</w:t>
            </w:r>
          </w:p>
          <w:p>
            <w:pPr>
              <w:pStyle w:val="null3"/>
              <w:ind w:firstLine="400"/>
              <w:jc w:val="both"/>
            </w:pPr>
            <w:r>
              <w:rPr>
                <w:rFonts w:ascii="仿宋_GB2312" w:hAnsi="仿宋_GB2312" w:cs="仿宋_GB2312" w:eastAsia="仿宋_GB2312"/>
                <w:sz w:val="20"/>
              </w:rPr>
              <w:t>4、供应商从业人员按采购人管理要求进行食材仓储管理，做到生熟分储、冷热分储、蔬菜与肉类分储等，并在各储藏柜标示食材名称、入库时间、储藏时效。并对每天食品进行留样分类。</w:t>
            </w:r>
          </w:p>
          <w:p>
            <w:pPr>
              <w:pStyle w:val="null3"/>
              <w:ind w:firstLine="400"/>
              <w:jc w:val="both"/>
            </w:pPr>
            <w:r>
              <w:rPr>
                <w:rFonts w:ascii="仿宋_GB2312" w:hAnsi="仿宋_GB2312" w:cs="仿宋_GB2312" w:eastAsia="仿宋_GB2312"/>
                <w:sz w:val="20"/>
              </w:rPr>
              <w:t>5、食品加工制作过程干净卫生，加工食材清洗彻底，加工时生熟分案，员工分菜操作前需清洁消毒，保证无各类传染性疾病，分菜间内干净、整洁，不存放其他无关杂物，定期消毒。</w:t>
            </w:r>
          </w:p>
          <w:p>
            <w:pPr>
              <w:pStyle w:val="null3"/>
              <w:ind w:firstLine="400"/>
              <w:jc w:val="both"/>
            </w:pPr>
            <w:r>
              <w:rPr>
                <w:rFonts w:ascii="仿宋_GB2312" w:hAnsi="仿宋_GB2312" w:cs="仿宋_GB2312" w:eastAsia="仿宋_GB2312"/>
                <w:sz w:val="20"/>
              </w:rPr>
              <w:t>6、按采购人规定及要求每日认真开展操作间、餐厅卫生清洁，无卫生死角，保持后厨及就餐环境干净整洁、无积垢、无灰尘、无死角、无病媒生物。</w:t>
            </w:r>
          </w:p>
          <w:p>
            <w:pPr>
              <w:pStyle w:val="null3"/>
              <w:ind w:firstLine="400"/>
              <w:jc w:val="both"/>
            </w:pPr>
            <w:r>
              <w:rPr>
                <w:rFonts w:ascii="仿宋_GB2312" w:hAnsi="仿宋_GB2312" w:cs="仿宋_GB2312" w:eastAsia="仿宋_GB2312"/>
                <w:sz w:val="20"/>
              </w:rPr>
              <w:t>7、分餐保温台里外无污渍、菜汤、随时清洁卫生、消毒、保持光亮；后厨调料消耗品保持清洁卫生，托盘里外随时干净卫生。</w:t>
            </w:r>
          </w:p>
          <w:p>
            <w:pPr>
              <w:pStyle w:val="null3"/>
              <w:ind w:firstLine="400"/>
              <w:jc w:val="both"/>
            </w:pPr>
            <w:r>
              <w:rPr>
                <w:rFonts w:ascii="仿宋_GB2312" w:hAnsi="仿宋_GB2312" w:cs="仿宋_GB2312" w:eastAsia="仿宋_GB2312"/>
                <w:sz w:val="20"/>
              </w:rPr>
              <w:t>8、有效地把控食品成本，提倡节约，杜绝浪费，合理配餐，成品饭食口味适宜、无夹生、无异物，每周更新菜品品种、口味、烹调方式。</w:t>
            </w:r>
          </w:p>
          <w:p>
            <w:pPr>
              <w:pStyle w:val="null3"/>
              <w:ind w:firstLine="400"/>
              <w:jc w:val="both"/>
            </w:pPr>
            <w:r>
              <w:rPr>
                <w:rFonts w:ascii="仿宋_GB2312" w:hAnsi="仿宋_GB2312" w:cs="仿宋_GB2312" w:eastAsia="仿宋_GB2312"/>
                <w:sz w:val="20"/>
              </w:rPr>
              <w:t>9、餐具按《食品安全法》规定及相关程序每餐消毒，保证无毒、无菌、无卫生事故发生，同时设备安全、作业安全、消防安全也是工作的重要组成部分。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、供应商从业人员应爱护餐厅各类餐具、工器具及设施设备，将餐具、工器具损耗率控制在采购人规定范围内，同时应节约水电和燃料费用，做到良好内控管理记录。</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、供应商对委托服务的范围内每天至少全范围清扫两次，做到无杂物、无垃圾、无沙土、无卫生死角、需清除的垃圾必须倒在指定垃圾堆放点，保证环境清洁。</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、供应商从业服务人员必须持有有效期健康证，对患有传染性疾病或不符合上岗要求的人员及时辞退。采购人有权对供应商从业人员进行健康抽查。</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、排水明沟保洁</w:t>
            </w:r>
          </w:p>
          <w:p>
            <w:pPr>
              <w:pStyle w:val="null3"/>
              <w:ind w:firstLine="400"/>
              <w:jc w:val="both"/>
            </w:pPr>
            <w:r>
              <w:rPr>
                <w:rFonts w:ascii="仿宋_GB2312" w:hAnsi="仿宋_GB2312" w:cs="仿宋_GB2312" w:eastAsia="仿宋_GB2312"/>
                <w:sz w:val="20"/>
              </w:rPr>
              <w:t>a．排水明沟应每天收尾时及时清理保证其畅通、无阻塞，无积水、无臭味。</w:t>
            </w:r>
          </w:p>
          <w:p>
            <w:pPr>
              <w:pStyle w:val="null3"/>
              <w:ind w:firstLine="400"/>
              <w:jc w:val="both"/>
            </w:pPr>
            <w:r>
              <w:rPr>
                <w:rFonts w:ascii="仿宋_GB2312" w:hAnsi="仿宋_GB2312" w:cs="仿宋_GB2312" w:eastAsia="仿宋_GB2312"/>
                <w:sz w:val="20"/>
              </w:rPr>
              <w:t>b．目视排水明沟干净，无明显泥沙、无污垢。</w:t>
            </w:r>
          </w:p>
          <w:p>
            <w:pPr>
              <w:pStyle w:val="null3"/>
              <w:ind w:firstLine="400"/>
              <w:jc w:val="both"/>
            </w:pPr>
            <w:r>
              <w:rPr>
                <w:rFonts w:ascii="仿宋_GB2312" w:hAnsi="仿宋_GB2312" w:cs="仿宋_GB2312" w:eastAsia="仿宋_GB2312"/>
                <w:sz w:val="20"/>
              </w:rPr>
              <w:t>c.隔油池应每天清理两次及以上，保证隔油池底部无油渍，底部无沉淀物。</w:t>
            </w:r>
          </w:p>
          <w:p>
            <w:pPr>
              <w:pStyle w:val="null3"/>
              <w:jc w:val="both"/>
            </w:pPr>
            <w:r>
              <w:rPr>
                <w:rFonts w:ascii="仿宋_GB2312" w:hAnsi="仿宋_GB2312" w:cs="仿宋_GB2312" w:eastAsia="仿宋_GB2312"/>
                <w:sz w:val="20"/>
                <w:b/>
              </w:rPr>
              <w:t>八</w:t>
            </w:r>
            <w:r>
              <w:rPr>
                <w:rFonts w:ascii="仿宋_GB2312" w:hAnsi="仿宋_GB2312" w:cs="仿宋_GB2312" w:eastAsia="仿宋_GB2312"/>
                <w:sz w:val="20"/>
                <w:b/>
              </w:rPr>
              <w:t>、其他</w:t>
            </w:r>
          </w:p>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进度要求</w:t>
            </w:r>
          </w:p>
          <w:p>
            <w:pPr>
              <w:pStyle w:val="null3"/>
              <w:ind w:firstLine="400"/>
              <w:jc w:val="both"/>
            </w:pPr>
            <w:r>
              <w:rPr>
                <w:rFonts w:ascii="仿宋_GB2312" w:hAnsi="仿宋_GB2312" w:cs="仿宋_GB2312" w:eastAsia="仿宋_GB2312"/>
                <w:sz w:val="20"/>
              </w:rPr>
              <w:t>以局机关的工作时间或重大保障时期提供相应的餐饮保障服务。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)交付要求</w:t>
            </w:r>
          </w:p>
          <w:p>
            <w:pPr>
              <w:pStyle w:val="null3"/>
              <w:ind w:firstLine="400"/>
              <w:jc w:val="both"/>
            </w:pPr>
            <w:r>
              <w:rPr>
                <w:rFonts w:ascii="仿宋_GB2312" w:hAnsi="仿宋_GB2312" w:cs="仿宋_GB2312" w:eastAsia="仿宋_GB2312"/>
                <w:sz w:val="20"/>
              </w:rPr>
              <w:t>1.巡检服务单；</w:t>
            </w:r>
          </w:p>
          <w:p>
            <w:pPr>
              <w:pStyle w:val="null3"/>
              <w:ind w:firstLine="400"/>
              <w:jc w:val="both"/>
            </w:pPr>
            <w:r>
              <w:rPr>
                <w:rFonts w:ascii="仿宋_GB2312" w:hAnsi="仿宋_GB2312" w:cs="仿宋_GB2312" w:eastAsia="仿宋_GB2312"/>
                <w:sz w:val="20"/>
              </w:rPr>
              <w:t>2.维修服务单；</w:t>
            </w:r>
          </w:p>
          <w:p>
            <w:pPr>
              <w:pStyle w:val="null3"/>
              <w:ind w:firstLine="400"/>
              <w:jc w:val="both"/>
            </w:pPr>
            <w:r>
              <w:rPr>
                <w:rFonts w:ascii="仿宋_GB2312" w:hAnsi="仿宋_GB2312" w:cs="仿宋_GB2312" w:eastAsia="仿宋_GB2312"/>
                <w:sz w:val="20"/>
              </w:rPr>
              <w:t>3.月度考核报告；</w:t>
            </w:r>
          </w:p>
          <w:p>
            <w:pPr>
              <w:pStyle w:val="null3"/>
              <w:ind w:firstLine="400"/>
              <w:jc w:val="both"/>
            </w:pPr>
            <w:r>
              <w:rPr>
                <w:rFonts w:ascii="仿宋_GB2312" w:hAnsi="仿宋_GB2312" w:cs="仿宋_GB2312" w:eastAsia="仿宋_GB2312"/>
                <w:sz w:val="20"/>
              </w:rPr>
              <w:t>4.年度考核报告；</w:t>
            </w:r>
          </w:p>
          <w:p>
            <w:pPr>
              <w:pStyle w:val="null3"/>
              <w:ind w:firstLine="400"/>
              <w:jc w:val="both"/>
            </w:pPr>
            <w:r>
              <w:rPr>
                <w:rFonts w:ascii="仿宋_GB2312" w:hAnsi="仿宋_GB2312" w:cs="仿宋_GB2312" w:eastAsia="仿宋_GB2312"/>
                <w:sz w:val="20"/>
              </w:rPr>
              <w:t>5.餐饮各项报表。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)质量验收标准或规范</w:t>
            </w:r>
          </w:p>
          <w:p>
            <w:pPr>
              <w:pStyle w:val="null3"/>
              <w:ind w:firstLine="400"/>
              <w:jc w:val="both"/>
            </w:pPr>
            <w:r>
              <w:rPr>
                <w:rFonts w:ascii="仿宋_GB2312" w:hAnsi="仿宋_GB2312" w:cs="仿宋_GB2312" w:eastAsia="仿宋_GB2312"/>
                <w:sz w:val="20"/>
              </w:rPr>
              <w:t>满足西安市信访局</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度餐饮采购需求；需满足国家相关标准、行业标准、地方标准或者其他标准、规范：执行国家和行业有关标准和规范要求，达到采购人要求；需满足的质量、安全、技术规格、物理特性等要求；达到采购人要求。</w:t>
            </w:r>
          </w:p>
          <w:p>
            <w:pPr>
              <w:pStyle w:val="null3"/>
              <w:ind w:firstLine="400"/>
              <w:jc w:val="both"/>
            </w:pPr>
            <w:r>
              <w:rPr>
                <w:rFonts w:ascii="仿宋_GB2312" w:hAnsi="仿宋_GB2312" w:cs="仿宋_GB2312" w:eastAsia="仿宋_GB2312"/>
                <w:sz w:val="20"/>
              </w:rPr>
              <w:t>考核内容主要指西安市信访局工程管理服务、保洁管理服务、会务管理服务、安保管理服务、餐饮服务等的物业服务内容。</w:t>
            </w:r>
          </w:p>
          <w:p>
            <w:pPr>
              <w:pStyle w:val="null3"/>
              <w:ind w:firstLine="400"/>
              <w:jc w:val="both"/>
            </w:pPr>
            <w:r>
              <w:rPr>
                <w:rFonts w:ascii="仿宋_GB2312" w:hAnsi="仿宋_GB2312" w:cs="仿宋_GB2312" w:eastAsia="仿宋_GB2312"/>
                <w:sz w:val="20"/>
              </w:rPr>
              <w:t>月度定期检查：每月按照服务质量检查表，进行不少于</w:t>
            </w:r>
            <w:r>
              <w:rPr>
                <w:rFonts w:ascii="仿宋_GB2312" w:hAnsi="仿宋_GB2312" w:cs="仿宋_GB2312" w:eastAsia="仿宋_GB2312"/>
                <w:sz w:val="20"/>
              </w:rPr>
              <w:t xml:space="preserve">1次的定期检查，每次检查范围不少于相关区域服务面积的25%。   </w:t>
            </w:r>
          </w:p>
          <w:p>
            <w:pPr>
              <w:pStyle w:val="null3"/>
              <w:ind w:firstLine="400"/>
              <w:jc w:val="both"/>
            </w:pPr>
            <w:r>
              <w:rPr>
                <w:rFonts w:ascii="仿宋_GB2312" w:hAnsi="仿宋_GB2312" w:cs="仿宋_GB2312" w:eastAsia="仿宋_GB2312"/>
                <w:sz w:val="20"/>
              </w:rPr>
              <w:t>平日抽查：平日根据干部职工反馈的问题进行抽查，抽查结果记入当月考核中。</w:t>
            </w:r>
            <w:r>
              <w:rPr>
                <w:rFonts w:ascii="仿宋_GB2312" w:hAnsi="仿宋_GB2312" w:cs="仿宋_GB2312" w:eastAsia="仿宋_GB2312"/>
                <w:sz w:val="20"/>
                <w:b/>
              </w:rPr>
              <w:t>（</w:t>
            </w:r>
            <w:r>
              <w:rPr>
                <w:rFonts w:ascii="仿宋_GB2312" w:hAnsi="仿宋_GB2312" w:cs="仿宋_GB2312" w:eastAsia="仿宋_GB2312"/>
                <w:sz w:val="20"/>
                <w:b/>
              </w:rPr>
              <w:t>详见附件：</w:t>
            </w:r>
            <w:r>
              <w:rPr>
                <w:rFonts w:ascii="仿宋_GB2312" w:hAnsi="仿宋_GB2312" w:cs="仿宋_GB2312" w:eastAsia="仿宋_GB2312"/>
                <w:sz w:val="20"/>
                <w:b/>
              </w:rPr>
              <w:t>抽查</w:t>
            </w:r>
            <w:r>
              <w:rPr>
                <w:rFonts w:ascii="仿宋_GB2312" w:hAnsi="仿宋_GB2312" w:cs="仿宋_GB2312" w:eastAsia="仿宋_GB2312"/>
                <w:sz w:val="20"/>
                <w:b/>
              </w:rPr>
              <w:t>记录表</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)考核</w:t>
            </w:r>
          </w:p>
          <w:p>
            <w:pPr>
              <w:pStyle w:val="null3"/>
              <w:ind w:firstLine="402"/>
              <w:jc w:val="both"/>
            </w:pPr>
            <w:r>
              <w:rPr>
                <w:rFonts w:ascii="仿宋_GB2312" w:hAnsi="仿宋_GB2312" w:cs="仿宋_GB2312" w:eastAsia="仿宋_GB2312"/>
                <w:sz w:val="20"/>
                <w:b/>
              </w:rPr>
              <w:t>详见附件：</w:t>
            </w:r>
            <w:r>
              <w:rPr>
                <w:rFonts w:ascii="仿宋_GB2312" w:hAnsi="仿宋_GB2312" w:cs="仿宋_GB2312" w:eastAsia="仿宋_GB2312"/>
                <w:sz w:val="20"/>
                <w:b/>
              </w:rPr>
              <w:t>西安市信访局餐饮月度考评表</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)违约责任</w:t>
            </w:r>
          </w:p>
          <w:p>
            <w:pPr>
              <w:pStyle w:val="null3"/>
              <w:ind w:firstLine="400"/>
              <w:jc w:val="both"/>
            </w:pPr>
            <w:r>
              <w:rPr>
                <w:rFonts w:ascii="仿宋_GB2312" w:hAnsi="仿宋_GB2312" w:cs="仿宋_GB2312" w:eastAsia="仿宋_GB2312"/>
                <w:sz w:val="20"/>
              </w:rPr>
              <w:t>1.按《物业管理条例》、《民法典》中的相关条款执行。</w:t>
            </w:r>
          </w:p>
          <w:p>
            <w:pPr>
              <w:pStyle w:val="null3"/>
              <w:ind w:firstLine="400"/>
              <w:jc w:val="both"/>
            </w:pPr>
            <w:r>
              <w:rPr>
                <w:rFonts w:ascii="仿宋_GB2312" w:hAnsi="仿宋_GB2312" w:cs="仿宋_GB2312" w:eastAsia="仿宋_GB2312"/>
                <w:sz w:val="20"/>
              </w:rPr>
              <w:t>2.未按合同要求提供服务或服务质量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ind w:firstLine="400"/>
              <w:jc w:val="both"/>
            </w:pPr>
            <w:r>
              <w:rPr>
                <w:rFonts w:ascii="仿宋_GB2312" w:hAnsi="仿宋_GB2312" w:cs="仿宋_GB2312" w:eastAsia="仿宋_GB2312"/>
                <w:sz w:val="20"/>
              </w:rPr>
              <w:t>3.其他未尽事宜，按《民法典》中的相关条款执行。</w:t>
            </w:r>
          </w:p>
          <w:p>
            <w:pPr>
              <w:pStyle w:val="null3"/>
              <w:jc w:val="both"/>
            </w:pPr>
            <w:r>
              <w:rPr>
                <w:rFonts w:ascii="仿宋_GB2312" w:hAnsi="仿宋_GB2312" w:cs="仿宋_GB2312" w:eastAsia="仿宋_GB2312"/>
                <w:sz w:val="20"/>
                <w:b/>
              </w:rPr>
              <w:t>九</w:t>
            </w:r>
            <w:r>
              <w:rPr>
                <w:rFonts w:ascii="仿宋_GB2312" w:hAnsi="仿宋_GB2312" w:cs="仿宋_GB2312" w:eastAsia="仿宋_GB2312"/>
                <w:sz w:val="20"/>
                <w:b/>
              </w:rPr>
              <w:t>、与本项目相关的特别说明</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 xml:space="preserve">    合同争议的解决：合同执行中发生争议的，当事人双方协商解决，协商达不成一致时，可向甲方所在地有管辖权的人民法院提请诉讼。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因系统技术原因，本项目支付方式以此处描述为准。支付方式如下：合同签订后按月支付，乙方开具等额的增值税普通发票，甲方应当自收到发票之日起10日内支付款项。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 （一）服务期满后，甲方根据合同要求，进行验收，确认服务标准和数量。验收合格后，填写政府采购项目验收单作为对项目的最终认可。 （二）验收依据： 1、采购文件、响应文件、澄清表（函）； 2、本合同及附件文本； 3、国家相应的标准、规范。 （三）乙方应向甲方提交项目实施过程中的所有资料，以便甲方日后管理和维护。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合同签订后按月支付，乙方开具等额的增值税普通发票，甲方应当自收到发票之日起10日内支付款项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（一）本合同期限未满，一方要求终止合同的，应按照合同约定和国家有关规定解除合同，并赔偿由此给对方造成的经济损失。 （二）当事人一方不履行或不完全按合同约定履行其义务的，视为违约，应承担违约责任，并支付合同总额3%的违约金。 （三）由于一方违反合同约定，违章指挥（操作）导致责任事故，给对方造成经济损失的，应赔偿对方全部直接经济损失。 （四）因国家建设或不可抗力因素导致设施损坏或造成损失时，双方互不承担责任。 （五）除本合同约定外，双方任何一方不得提前解除或终止本合同，否则应支付对方合同金额的5%作为违约金。 （六）其他违约责任由双方在签订合同时另行商定。 （七）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（八）由双方按《民法典》中的平等原则协商后补充。 争议解决 （一）本合同适用法律为中华人民共和国法律。 （二）凡与本合同有关的一切争议，双方应通过友好协商解决。如经协商后仍不能达成协议时，任何一方都有权向甲方所在地有管辖权的人民法院起诉。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要求：（1）供应商应结合项目招标要求、自身生产或供应能力、价格水平、货物及服务的全周期综合成本进行报价。（2）供应商在填报报价时应综合考虑以下各类价格组成内容，包括但不限于人工费、设备费（主材及辅材）、保险、利润、规费、税金、运输费等与之相关的一切直接费、间接费。要求的其他相关费用以本竞争性磋商文件的内容和要求作为投标依据。2、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4、本项目需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中国人民银行西安分行关于深入推进政府采购信用融资业务通知(陕财办采〔2023〕5号)；（14）国务院办公厅关于在政府采购中实施本国产品标准及相关政策的通知国办发〔2025〕34 号；（15）财政部《关于推动解决政府采购异常低价问题的通知》（财库〔2026〕2号）（16）其他需执行的政府采购政策。5、本项目专门面向中小企业采购。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内容无重大缺漏项，报价唯一，且没有高于采购预算及最高限价。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响应文件的签署、加盖印章是否合格、有效；提供的相关证明文件、数据、资料是否齐全、有效。</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评审中出现下列情形之一的，评审委员会应当启动异常低价投标审查程序：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其他无效投标情形</w:t>
            </w:r>
          </w:p>
        </w:tc>
        <w:tc>
          <w:tcPr>
            <w:tcW w:type="dxa" w:w="3322"/>
          </w:tcPr>
          <w:p>
            <w:pPr>
              <w:pStyle w:val="null3"/>
            </w:pPr>
            <w:r>
              <w:rPr>
                <w:rFonts w:ascii="仿宋_GB2312" w:hAnsi="仿宋_GB2312" w:cs="仿宋_GB2312" w:eastAsia="仿宋_GB2312"/>
              </w:rPr>
              <w:t>无磋商文件规定的其他无效投标情形。</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菜品质量控制方案</w:t>
            </w:r>
          </w:p>
        </w:tc>
        <w:tc>
          <w:tcPr>
            <w:tcW w:type="dxa" w:w="2492"/>
          </w:tcPr>
          <w:p>
            <w:pPr>
              <w:pStyle w:val="null3"/>
            </w:pPr>
            <w:r>
              <w:rPr>
                <w:rFonts w:ascii="仿宋_GB2312" w:hAnsi="仿宋_GB2312" w:cs="仿宋_GB2312" w:eastAsia="仿宋_GB2312"/>
              </w:rPr>
              <w:t>1、评审内容 提出针对于本项目的菜品质量控制方案，方案内容包含： ①保障管理； ②饭菜质量； ③服务质量； ④提供丰富多样的日常菜品和风味小吃； ⑤具有推陈出新的能力； ⑥建立符合采购人餐厅特点的食谱库； ⑦定期更换调整的供餐标准； ⑧针对中国传统习俗、节日特点提供菜品质量控制方案。 2、评审标准 ①完整性：方案须全面，对评审内容中的各项要求有详细描述及说明； ②可实施性：切合本项目实际情况，实施步骤清晰、合理； ③针对性：方案能够紧扣项目实际情况，内容科学合理。 3、赋分标准（满分24分） ①保障管理：每满足一项评审标准得1分，满分3分； ②饭菜质量：每满足一项评审标准得1分，满分3分； ③服务质量：每满足一项评审标准得1分，满分3分； ④提供丰富多样的日常菜品和风味小吃：每满足一项评审标准得1分，满分3分； ⑤具有推陈出新的能力：每满足一项评审标准得1分，满分3分； ⑥建立符合采购人餐厅特点的食谱库：每满足一项评审标准得1分，满分3分； ⑦定期更换调整的供餐标准：每满足一项评审标准得1分，满分3分； ⑧针对中国传统习俗、节日特点提供菜品质量控制方案：每满足一项评审标准得1分，满分3分。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1、评审内容 提出针对于本项目的食品安全管理方案，方案内容包含： ①食品卫生管理； ②炊具、餐具清洗消毒管理提供食品安全管理方案； ③安全卫生等内容编制本项目的保障方案。 2、评审标准 ①完整性：方案须全面，对评审内容中的各项要求有详细描述及说明； ②可实施性：切合本项目实际情况，实施步骤清晰、合理； ③针对性：方案能够紧扣项目实际情况，内容科学合理。 3、赋分标准（满分9分） ①食品卫生管理：每满足一项评审标准得1分，满分3分； ②炊具、餐具清洗消毒管理提供食品安全管理方案：每满足一项评审标准得1分，满分3分； ③安全卫生等内容编制本项目的保障方案：每满足一项评审标准得1分，满分3分。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厨房服务管理方案</w:t>
            </w:r>
          </w:p>
        </w:tc>
        <w:tc>
          <w:tcPr>
            <w:tcW w:type="dxa" w:w="2492"/>
          </w:tcPr>
          <w:p>
            <w:pPr>
              <w:pStyle w:val="null3"/>
            </w:pPr>
            <w:r>
              <w:rPr>
                <w:rFonts w:ascii="仿宋_GB2312" w:hAnsi="仿宋_GB2312" w:cs="仿宋_GB2312" w:eastAsia="仿宋_GB2312"/>
              </w:rPr>
              <w:t>1、评审内容 提出针对于本项目的厨房服务管理方案，方案内容包含： ①厨房环境质量管理方案，涉及工作间地面、货架、刀具、菜案、面案等。 ②厨房设备的维护和保管方案，包括厨房灯管、排气扇、墙壁蒸箱、和面机、压面机等。 2、评审标准 ①完整性：方案须全面，对评审内容中的各项要求有详细描述及说明； ②可实施性：切合本项目实际情况，实施步骤清晰、合理； ③针对性：方案能够紧扣项目实际情况，内容科学合理。 3、赋分标准（满分9分） ①厨房环境质量管理方案：每满足一项评审标准得1.5分，满分4.5分； ②厨房设备的维护和保管方案：每满足一项评审标准得1.5分，满分4.5分。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1、评审内容 提出针对于本项目的突发事件应急预案，方案内容包含： ①停水、停电、停气、设备故障、食物中毒； ②突发性的接待、活动、考察等导致用餐人数增多等情况的应对措施。 2、评审标准 ①完整性：方案须全面，对评审内容中的各项要求有详细描述及说明； ②可实施性：切合本项目实际情况，实施步骤清晰、合理； ③针对性：方案能够紧扣项目实际情况，内容科学合理。 3、赋分标准（满分6分） ①停水、停电、停气、设备故障、食物中毒：每满足一项评审标准得1分，满分3分； ②突发性的接待、活动、考察等导致用餐人数增多等情况的应对措施：每满足一项评审标准得1分，满分3分。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节约节能方案</w:t>
            </w:r>
          </w:p>
        </w:tc>
        <w:tc>
          <w:tcPr>
            <w:tcW w:type="dxa" w:w="2492"/>
          </w:tcPr>
          <w:p>
            <w:pPr>
              <w:pStyle w:val="null3"/>
            </w:pPr>
            <w:r>
              <w:rPr>
                <w:rFonts w:ascii="仿宋_GB2312" w:hAnsi="仿宋_GB2312" w:cs="仿宋_GB2312" w:eastAsia="仿宋_GB2312"/>
              </w:rPr>
              <w:t>1、评审内容 提出针对于本项目的节约节能方案，方案内容包含： ①食材节约方案； ②节能方案，包括节电、节水、节气等。 2、评审标准 ①完整性：方案须全面，对评审内容中的各项要求有详细描述及说明； ②可实施性：切合本项目实际情况，实施步骤清晰、合理； ③针对性：方案能够紧扣项目实际情况，内容科学合理。 3、赋分标准（满分3分） ①食材节约方案：每满足一项评审标准得0.5分，满分1.5分； ②节能方案：每满足一项评审标准得0.5分，满分1.5分。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一、项目经理（满分5分） 拟派遣项目经理。 1、具有本科及以上学历,得2分；大专学历,得1分(注:需提供相应学历毕业证书原件扫描件。) 2、项目经理具有10年（包含）及以上团餐管理经验，得3分；5年（包含）至10年（不含）团餐管理经验，得2分；3年至5年（不含）团餐管理经验，得1分。(注:需供应商提供工作时间证明材料并加盖公章。 二、工作服务人员: 1、按服务要求中人员配置数量和要求，提供派遣人员的情况说明，包括基本信息(包含:个人信息表(详细个人履历及派遣岗位)、身份证件、资格证书等证明材料。 2、评审标准 ①完整性：内容须全面，对评审内容中的各项要求有详细描述及说明； ②专业性：人员相关岗位经验丰富，切合本项目实际情况。 ③针对性：人员数量充足，人员资格、年龄等符合招标文件要求。 3、赋分标准（满分7.5分） 每满足一项评审标准得2.5分，满分7.5分。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人员职责与管理方案</w:t>
            </w:r>
          </w:p>
        </w:tc>
        <w:tc>
          <w:tcPr>
            <w:tcW w:type="dxa" w:w="2492"/>
          </w:tcPr>
          <w:p>
            <w:pPr>
              <w:pStyle w:val="null3"/>
            </w:pPr>
            <w:r>
              <w:rPr>
                <w:rFonts w:ascii="仿宋_GB2312" w:hAnsi="仿宋_GB2312" w:cs="仿宋_GB2312" w:eastAsia="仿宋_GB2312"/>
              </w:rPr>
              <w:t>1、评审内容 提出针对于本项目的人员职责与管理方案，方案内容包含： ①岗位职责； ②人员培训计划； ③绩效考核制度。 2、评审标准 ①完整性：方案须全面，对评审内容中的各项要求有详细描述及说明； ②可实施性：切合本项目实际情况，实施步骤清晰、合理； ③针对性：方案能够紧扣项目实际情况，内容科学合理。 3、赋分标准（满分13.5分） ①岗位职责：每满足一项评审标准得1.5分，满分4.5分； ②人员培训计划：每满足一项评审标准得1.5分，满分4.5分； ③绩效考核制度：每满足一项评审标准得1.5分，满分4.5分。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人员健康证</w:t>
            </w:r>
          </w:p>
        </w:tc>
        <w:tc>
          <w:tcPr>
            <w:tcW w:type="dxa" w:w="2492"/>
          </w:tcPr>
          <w:p>
            <w:pPr>
              <w:pStyle w:val="null3"/>
            </w:pPr>
            <w:r>
              <w:rPr>
                <w:rFonts w:ascii="仿宋_GB2312" w:hAnsi="仿宋_GB2312" w:cs="仿宋_GB2312" w:eastAsia="仿宋_GB2312"/>
              </w:rPr>
              <w:t>供应商参与本项目的所有人员应具备有效的健康证；提供的所有人员健康证得2分，不提供或提供不全不得分。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提供2023年01月01日（以合同签订时间/服务时间为准）起同类项目业绩证明文件（合同扫描件），评审时以响应文件中的扫描件加盖公章为计分依据，每出具一份业绩证明文件得2分，满分6分。 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