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372"/>
        <w:gridCol w:w="1423"/>
        <w:gridCol w:w="4375"/>
      </w:tblGrid>
      <w:tr w14:paraId="7A7D1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jc w:val="center"/>
        </w:trPr>
        <w:tc>
          <w:tcPr>
            <w:tcW w:w="862" w:type="dxa"/>
            <w:vAlign w:val="center"/>
          </w:tcPr>
          <w:p w14:paraId="226AE450">
            <w:pPr>
              <w:widowControl w:val="0"/>
              <w:spacing w:line="360" w:lineRule="auto"/>
              <w:ind w:left="0"/>
              <w:jc w:val="center"/>
              <w:rPr>
                <w:rFonts w:ascii="宋体" w:hAnsi="宋体" w:eastAsia="宋体" w:cs="宋体"/>
                <w:b/>
                <w:kern w:val="2"/>
                <w:sz w:val="24"/>
                <w:szCs w:val="24"/>
                <w:lang w:val="en-US" w:eastAsia="zh-CN" w:bidi="zh-CN"/>
              </w:rPr>
            </w:pPr>
            <w:r>
              <w:rPr>
                <w:rFonts w:hint="eastAsia" w:ascii="宋体" w:hAnsi="宋体" w:eastAsia="宋体" w:cs="宋体"/>
                <w:b/>
                <w:kern w:val="2"/>
                <w:sz w:val="24"/>
                <w:szCs w:val="24"/>
                <w:lang w:val="en-US" w:eastAsia="zh-CN" w:bidi="zh-CN"/>
              </w:rPr>
              <w:t>序号</w:t>
            </w:r>
          </w:p>
        </w:tc>
        <w:tc>
          <w:tcPr>
            <w:tcW w:w="1372" w:type="dxa"/>
            <w:vAlign w:val="center"/>
          </w:tcPr>
          <w:p w14:paraId="2374DCF9">
            <w:pPr>
              <w:widowControl w:val="0"/>
              <w:spacing w:line="360" w:lineRule="auto"/>
              <w:ind w:left="0"/>
              <w:jc w:val="center"/>
              <w:rPr>
                <w:rFonts w:ascii="宋体" w:hAnsi="宋体" w:eastAsia="宋体" w:cs="宋体"/>
                <w:b/>
                <w:kern w:val="2"/>
                <w:sz w:val="24"/>
                <w:szCs w:val="24"/>
                <w:lang w:val="en-US" w:eastAsia="zh-CN" w:bidi="zh-CN"/>
              </w:rPr>
            </w:pPr>
            <w:r>
              <w:rPr>
                <w:rFonts w:hint="eastAsia" w:ascii="宋体" w:hAnsi="宋体" w:eastAsia="宋体" w:cs="宋体"/>
                <w:b/>
                <w:kern w:val="2"/>
                <w:sz w:val="24"/>
                <w:szCs w:val="24"/>
                <w:lang w:val="en-US" w:eastAsia="zh-CN" w:bidi="zh-CN"/>
              </w:rPr>
              <w:t>名称</w:t>
            </w:r>
          </w:p>
        </w:tc>
        <w:tc>
          <w:tcPr>
            <w:tcW w:w="1423" w:type="dxa"/>
            <w:vAlign w:val="center"/>
          </w:tcPr>
          <w:p w14:paraId="0B3E45D8">
            <w:pPr>
              <w:widowControl w:val="0"/>
              <w:spacing w:line="360" w:lineRule="auto"/>
              <w:ind w:left="0"/>
              <w:jc w:val="center"/>
              <w:rPr>
                <w:rFonts w:ascii="Calibri" w:hAnsi="Calibri" w:eastAsia="宋体" w:cs="Times New Roman"/>
                <w:b/>
                <w:kern w:val="2"/>
                <w:sz w:val="24"/>
                <w:szCs w:val="24"/>
                <w:lang w:val="en-US" w:eastAsia="zh-CN" w:bidi="ar-SA"/>
              </w:rPr>
            </w:pPr>
            <w:r>
              <w:rPr>
                <w:rFonts w:hint="eastAsia" w:ascii="Calibri" w:hAnsi="Calibri" w:eastAsia="宋体" w:cs="Times New Roman"/>
                <w:b/>
                <w:kern w:val="2"/>
                <w:sz w:val="24"/>
                <w:szCs w:val="24"/>
                <w:lang w:val="en-US" w:eastAsia="zh-CN" w:bidi="ar-SA"/>
              </w:rPr>
              <w:t>质量要求</w:t>
            </w:r>
          </w:p>
        </w:tc>
        <w:tc>
          <w:tcPr>
            <w:tcW w:w="4375" w:type="dxa"/>
            <w:vAlign w:val="center"/>
          </w:tcPr>
          <w:p w14:paraId="257877EE">
            <w:pPr>
              <w:widowControl w:val="0"/>
              <w:spacing w:line="360" w:lineRule="auto"/>
              <w:ind w:left="0"/>
              <w:jc w:val="center"/>
              <w:rPr>
                <w:rFonts w:ascii="Calibri" w:hAnsi="Calibri" w:eastAsia="宋体" w:cs="Times New Roman"/>
                <w:b/>
                <w:kern w:val="2"/>
                <w:sz w:val="24"/>
                <w:szCs w:val="24"/>
                <w:lang w:val="en-US" w:eastAsia="zh-CN" w:bidi="ar-SA"/>
              </w:rPr>
            </w:pPr>
            <w:r>
              <w:rPr>
                <w:rFonts w:hint="eastAsia" w:ascii="Calibri" w:hAnsi="Calibri" w:eastAsia="宋体" w:cs="Times New Roman"/>
                <w:b/>
                <w:kern w:val="2"/>
                <w:sz w:val="24"/>
                <w:szCs w:val="24"/>
                <w:lang w:val="en-US" w:eastAsia="zh-CN" w:bidi="ar-SA"/>
              </w:rPr>
              <w:t>服务内容</w:t>
            </w:r>
          </w:p>
        </w:tc>
      </w:tr>
      <w:tr w14:paraId="14C8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restart"/>
            <w:vAlign w:val="center"/>
          </w:tcPr>
          <w:p w14:paraId="0C006B64">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1</w:t>
            </w:r>
          </w:p>
        </w:tc>
        <w:tc>
          <w:tcPr>
            <w:tcW w:w="1372" w:type="dxa"/>
            <w:vMerge w:val="restart"/>
            <w:vAlign w:val="center"/>
          </w:tcPr>
          <w:p w14:paraId="33A0F595">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餐厅管理</w:t>
            </w:r>
          </w:p>
        </w:tc>
        <w:tc>
          <w:tcPr>
            <w:tcW w:w="1423" w:type="dxa"/>
            <w:vMerge w:val="restart"/>
            <w:vAlign w:val="center"/>
          </w:tcPr>
          <w:p w14:paraId="47C02003">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考核管理</w:t>
            </w:r>
          </w:p>
        </w:tc>
        <w:tc>
          <w:tcPr>
            <w:tcW w:w="4375" w:type="dxa"/>
            <w:vAlign w:val="center"/>
          </w:tcPr>
          <w:p w14:paraId="06109662">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严格遵守国家有关安全生产的法律法规，认真执行合同中的有关安全要求。严格遵守采购人所制定的餐厅考核制度。</w:t>
            </w:r>
          </w:p>
        </w:tc>
      </w:tr>
      <w:tr w14:paraId="0A8D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6B56BDCB">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45778CD9">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2C0E004F">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5932B4CA">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服从采购人对生产场地、工作及生活环境的安排和要求，严格执行采购现场标准的相关管理规定。</w:t>
            </w:r>
          </w:p>
        </w:tc>
      </w:tr>
      <w:tr w14:paraId="0000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2CC0E287">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068217E5">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58DE1200">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3C9104F5">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供应商应定期检查安全设施，发现隐患及时上报，配合采购及时处理各类隐患。</w:t>
            </w:r>
          </w:p>
        </w:tc>
      </w:tr>
      <w:tr w14:paraId="580F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452E1455">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4111988C">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restart"/>
            <w:vAlign w:val="center"/>
          </w:tcPr>
          <w:p w14:paraId="452D2B6F">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设备设施</w:t>
            </w:r>
          </w:p>
        </w:tc>
        <w:tc>
          <w:tcPr>
            <w:tcW w:w="4375" w:type="dxa"/>
            <w:vAlign w:val="center"/>
          </w:tcPr>
          <w:p w14:paraId="4F2F67CF">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供应商对采购所配设备及餐具用品需要更换或报废时，报采购人许可，设备完好率 100%。</w:t>
            </w:r>
          </w:p>
        </w:tc>
      </w:tr>
      <w:tr w14:paraId="3F1D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397429FA">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557A9014">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0DC3342D">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0ABD6761">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餐具保持完好率（指餐具无裂缝、豁口或破损）在 98%以上。</w:t>
            </w:r>
          </w:p>
        </w:tc>
      </w:tr>
      <w:tr w14:paraId="6591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48C5CBE9">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155B29E3">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390E8B0A">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33D9E986">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餐具所用筷子每三个月必须更换一次，所更换碗、筷子质量必须按采购人要求和规格进行更换，所需费用均由供应商承担。</w:t>
            </w:r>
          </w:p>
        </w:tc>
      </w:tr>
      <w:tr w14:paraId="3BF6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3687001C">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6EB03CA5">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10F198BF">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279C80E1">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厨具中菜刀、铁锅、菜墩、炒勺等小件厨具补充更新，必须按采购要求进行同质量、同品牌进行更换，所需费用均由供应商承担。</w:t>
            </w:r>
          </w:p>
        </w:tc>
      </w:tr>
      <w:tr w14:paraId="296A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5E52139D">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536B5AFC">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restart"/>
            <w:vAlign w:val="center"/>
          </w:tcPr>
          <w:p w14:paraId="2A28EE84">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岗位培训</w:t>
            </w:r>
          </w:p>
        </w:tc>
        <w:tc>
          <w:tcPr>
            <w:tcW w:w="4375" w:type="dxa"/>
            <w:vAlign w:val="center"/>
          </w:tcPr>
          <w:p w14:paraId="55BDADF4">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加强安全生产宣传教育，建立健全各项安全生产的管理机制和安全生产管理制度。</w:t>
            </w:r>
          </w:p>
        </w:tc>
      </w:tr>
      <w:tr w14:paraId="18A0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4397BBDC">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5968F878">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44CA40C0">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6076AEF3">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严格遵守安全操作规程，由此引发的一切安全事故及安全责任，由供应商承担。</w:t>
            </w:r>
          </w:p>
        </w:tc>
      </w:tr>
      <w:tr w14:paraId="1BA3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2E7FB5F4">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3AC3363C">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1BAB3F70">
            <w:pPr>
              <w:widowControl w:val="0"/>
              <w:spacing w:line="360" w:lineRule="auto"/>
              <w:ind w:left="0"/>
              <w:jc w:val="center"/>
              <w:rPr>
                <w:rFonts w:ascii="宋体" w:hAnsi="宋体" w:eastAsia="宋体" w:cs="宋体"/>
                <w:kern w:val="2"/>
                <w:sz w:val="24"/>
                <w:szCs w:val="24"/>
                <w:lang w:val="en-US" w:eastAsia="zh-CN" w:bidi="zh-CN"/>
              </w:rPr>
            </w:pPr>
          </w:p>
        </w:tc>
        <w:tc>
          <w:tcPr>
            <w:tcW w:w="4375" w:type="dxa"/>
            <w:vAlign w:val="center"/>
          </w:tcPr>
          <w:p w14:paraId="42F75F30">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制订生产安全事故应急救援预案及紧急事故应急预案，定期组织应急预案演练活动。</w:t>
            </w:r>
          </w:p>
        </w:tc>
      </w:tr>
      <w:tr w14:paraId="715E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restart"/>
            <w:vAlign w:val="center"/>
          </w:tcPr>
          <w:p w14:paraId="67E625FD">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2</w:t>
            </w:r>
          </w:p>
        </w:tc>
        <w:tc>
          <w:tcPr>
            <w:tcW w:w="1372" w:type="dxa"/>
            <w:vMerge w:val="restart"/>
            <w:vAlign w:val="center"/>
          </w:tcPr>
          <w:p w14:paraId="3FD77394">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菜品采购</w:t>
            </w:r>
          </w:p>
        </w:tc>
        <w:tc>
          <w:tcPr>
            <w:tcW w:w="1423" w:type="dxa"/>
            <w:vMerge w:val="restart"/>
            <w:vAlign w:val="center"/>
          </w:tcPr>
          <w:p w14:paraId="0A77CF9B">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采购要求</w:t>
            </w:r>
          </w:p>
        </w:tc>
        <w:tc>
          <w:tcPr>
            <w:tcW w:w="4375" w:type="dxa"/>
            <w:vAlign w:val="center"/>
          </w:tcPr>
          <w:p w14:paraId="24B18920">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采购带包装的食品时，禁止采购“ 三无”产品，即无“ 生产日期、保质期或有效食用截止日期、生产厂家”，三者缺一不可。</w:t>
            </w:r>
          </w:p>
        </w:tc>
      </w:tr>
      <w:tr w14:paraId="5BA8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3937A4EF">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18BD49BA">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570CF6C5">
            <w:pPr>
              <w:widowControl w:val="0"/>
              <w:spacing w:line="360" w:lineRule="auto"/>
              <w:ind w:left="0"/>
              <w:jc w:val="left"/>
              <w:rPr>
                <w:rFonts w:ascii="宋体" w:hAnsi="宋体" w:eastAsia="宋体" w:cs="宋体"/>
                <w:kern w:val="2"/>
                <w:sz w:val="24"/>
                <w:szCs w:val="24"/>
                <w:lang w:val="en-US" w:eastAsia="zh-CN" w:bidi="zh-CN"/>
              </w:rPr>
            </w:pPr>
          </w:p>
        </w:tc>
        <w:tc>
          <w:tcPr>
            <w:tcW w:w="4375" w:type="dxa"/>
            <w:vAlign w:val="center"/>
          </w:tcPr>
          <w:p w14:paraId="5075DF65">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禁止采购无食品生产许可证、编号的产品。</w:t>
            </w:r>
          </w:p>
        </w:tc>
      </w:tr>
      <w:tr w14:paraId="5BED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79671BD8">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05564398">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1C23F4E5">
            <w:pPr>
              <w:widowControl w:val="0"/>
              <w:spacing w:line="360" w:lineRule="auto"/>
              <w:ind w:left="0"/>
              <w:jc w:val="left"/>
              <w:rPr>
                <w:rFonts w:ascii="宋体" w:hAnsi="宋体" w:eastAsia="宋体" w:cs="宋体"/>
                <w:kern w:val="2"/>
                <w:sz w:val="24"/>
                <w:szCs w:val="24"/>
                <w:lang w:val="en-US" w:eastAsia="zh-CN" w:bidi="zh-CN"/>
              </w:rPr>
            </w:pPr>
          </w:p>
        </w:tc>
        <w:tc>
          <w:tcPr>
            <w:tcW w:w="4375" w:type="dxa"/>
            <w:vAlign w:val="center"/>
          </w:tcPr>
          <w:p w14:paraId="6BA43F39">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根据采购人对膳食的要求,按照合理和营养的原则来确定。</w:t>
            </w:r>
          </w:p>
        </w:tc>
      </w:tr>
      <w:tr w14:paraId="05C0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6C75205C">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670B0AC6">
            <w:pPr>
              <w:widowControl w:val="0"/>
              <w:spacing w:line="360" w:lineRule="auto"/>
              <w:ind w:left="0"/>
              <w:jc w:val="center"/>
              <w:rPr>
                <w:rFonts w:ascii="宋体" w:hAnsi="宋体" w:eastAsia="宋体" w:cs="宋体"/>
                <w:kern w:val="2"/>
                <w:sz w:val="24"/>
                <w:szCs w:val="24"/>
                <w:lang w:val="en-US" w:eastAsia="zh-CN" w:bidi="zh-CN"/>
              </w:rPr>
            </w:pPr>
          </w:p>
        </w:tc>
        <w:tc>
          <w:tcPr>
            <w:tcW w:w="1423" w:type="dxa"/>
            <w:vMerge w:val="continue"/>
            <w:vAlign w:val="center"/>
          </w:tcPr>
          <w:p w14:paraId="65ABF2FE">
            <w:pPr>
              <w:widowControl w:val="0"/>
              <w:spacing w:line="360" w:lineRule="auto"/>
              <w:ind w:left="0"/>
              <w:jc w:val="left"/>
              <w:rPr>
                <w:rFonts w:ascii="宋体" w:hAnsi="宋体" w:eastAsia="宋体" w:cs="宋体"/>
                <w:kern w:val="2"/>
                <w:sz w:val="24"/>
                <w:szCs w:val="24"/>
                <w:lang w:val="en-US" w:eastAsia="zh-CN" w:bidi="zh-CN"/>
              </w:rPr>
            </w:pPr>
          </w:p>
        </w:tc>
        <w:tc>
          <w:tcPr>
            <w:tcW w:w="4375" w:type="dxa"/>
            <w:vAlign w:val="center"/>
          </w:tcPr>
          <w:p w14:paraId="6A2D7E28">
            <w:pPr>
              <w:widowControl w:val="0"/>
              <w:spacing w:line="360" w:lineRule="auto"/>
              <w:ind w:left="0"/>
              <w:jc w:val="left"/>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按照采购方就餐者对原料的食用习惯和食用价值确定</w:t>
            </w:r>
          </w:p>
        </w:tc>
      </w:tr>
      <w:tr w14:paraId="21ED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726BB2F7">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0BB6CD5A">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5A56ACFE">
            <w:pPr>
              <w:spacing w:line="360" w:lineRule="auto"/>
              <w:rPr>
                <w:rFonts w:ascii="Calibri" w:hAnsi="Calibri" w:eastAsia="宋体" w:cs="Times New Roman"/>
                <w:sz w:val="24"/>
                <w:szCs w:val="24"/>
              </w:rPr>
            </w:pPr>
            <w:r>
              <w:rPr>
                <w:rFonts w:hint="eastAsia" w:ascii="Calibri" w:hAnsi="宋体" w:eastAsia="宋体" w:cs="宋体"/>
                <w:sz w:val="24"/>
                <w:szCs w:val="24"/>
                <w:lang w:bidi="zh-CN"/>
              </w:rPr>
              <w:t>蔬菜类</w:t>
            </w:r>
          </w:p>
        </w:tc>
        <w:tc>
          <w:tcPr>
            <w:tcW w:w="4375" w:type="dxa"/>
            <w:vAlign w:val="center"/>
          </w:tcPr>
          <w:p w14:paraId="65E387A6">
            <w:pPr>
              <w:spacing w:line="360" w:lineRule="auto"/>
              <w:rPr>
                <w:rFonts w:ascii="Calibri" w:hAnsi="Calibri" w:eastAsia="宋体" w:cs="Times New Roman"/>
                <w:sz w:val="24"/>
                <w:szCs w:val="24"/>
              </w:rPr>
            </w:pPr>
            <w:r>
              <w:rPr>
                <w:rFonts w:hint="eastAsia" w:ascii="Calibri" w:hAnsi="宋体" w:eastAsia="宋体" w:cs="宋体"/>
                <w:sz w:val="24"/>
                <w:szCs w:val="24"/>
                <w:lang w:bidi="zh-CN"/>
              </w:rPr>
              <w:t>蔬菜农残要求符合农产品安全质量无公害蔬菜安全要求中最大限量标准。</w:t>
            </w:r>
          </w:p>
        </w:tc>
      </w:tr>
      <w:tr w14:paraId="7D47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20CF3C1B">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450071F5">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3DD5BE69">
            <w:pPr>
              <w:spacing w:line="360" w:lineRule="auto"/>
              <w:rPr>
                <w:rFonts w:ascii="Calibri" w:hAnsi="Calibri" w:eastAsia="宋体" w:cs="Times New Roman"/>
                <w:sz w:val="24"/>
                <w:szCs w:val="24"/>
              </w:rPr>
            </w:pPr>
            <w:r>
              <w:rPr>
                <w:rFonts w:hint="eastAsia" w:ascii="Calibri" w:hAnsi="宋体" w:eastAsia="宋体" w:cs="宋体"/>
                <w:sz w:val="24"/>
                <w:szCs w:val="24"/>
                <w:lang w:bidi="zh-CN"/>
              </w:rPr>
              <w:t>猪肉类</w:t>
            </w:r>
          </w:p>
        </w:tc>
        <w:tc>
          <w:tcPr>
            <w:tcW w:w="4375" w:type="dxa"/>
            <w:vAlign w:val="center"/>
          </w:tcPr>
          <w:p w14:paraId="58DF2CA8">
            <w:pPr>
              <w:spacing w:line="360" w:lineRule="auto"/>
              <w:rPr>
                <w:rFonts w:ascii="Calibri" w:hAnsi="Calibri" w:eastAsia="宋体" w:cs="Times New Roman"/>
                <w:sz w:val="24"/>
                <w:szCs w:val="24"/>
              </w:rPr>
            </w:pPr>
            <w:r>
              <w:rPr>
                <w:rFonts w:hint="eastAsia" w:ascii="Calibri" w:hAnsi="宋体" w:eastAsia="宋体" w:cs="宋体"/>
                <w:sz w:val="24"/>
                <w:szCs w:val="24"/>
                <w:lang w:bidi="zh-CN"/>
              </w:rPr>
              <w:t>猪肉类标准:每批次必须有兽医检疫合格证明,首次供货前提供兽药残留达标、无禁用药物保证函,每年提供至少一次当年官方检验报告。印章清晰清楚可查。</w:t>
            </w:r>
          </w:p>
        </w:tc>
      </w:tr>
      <w:tr w14:paraId="13BA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29EACA28">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49DABD79">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5E66653D">
            <w:pPr>
              <w:spacing w:line="360" w:lineRule="auto"/>
              <w:rPr>
                <w:rFonts w:ascii="Calibri" w:hAnsi="Calibri" w:eastAsia="宋体" w:cs="Times New Roman"/>
                <w:sz w:val="24"/>
                <w:szCs w:val="24"/>
              </w:rPr>
            </w:pPr>
            <w:r>
              <w:rPr>
                <w:rFonts w:hint="eastAsia" w:ascii="Calibri" w:hAnsi="宋体" w:eastAsia="宋体" w:cs="宋体"/>
                <w:sz w:val="24"/>
                <w:szCs w:val="24"/>
                <w:lang w:bidi="zh-CN"/>
              </w:rPr>
              <w:t>牛肉类</w:t>
            </w:r>
          </w:p>
        </w:tc>
        <w:tc>
          <w:tcPr>
            <w:tcW w:w="4375" w:type="dxa"/>
            <w:vAlign w:val="center"/>
          </w:tcPr>
          <w:p w14:paraId="4FE5E923">
            <w:pPr>
              <w:spacing w:line="360" w:lineRule="auto"/>
              <w:rPr>
                <w:rFonts w:ascii="Calibri" w:hAnsi="Calibri" w:eastAsia="宋体" w:cs="Times New Roman"/>
                <w:sz w:val="24"/>
                <w:szCs w:val="24"/>
              </w:rPr>
            </w:pPr>
            <w:r>
              <w:rPr>
                <w:rFonts w:hint="eastAsia" w:ascii="Calibri" w:hAnsi="宋体" w:eastAsia="宋体" w:cs="宋体"/>
                <w:sz w:val="24"/>
                <w:szCs w:val="24"/>
                <w:lang w:bidi="zh-CN"/>
              </w:rPr>
              <w:t>每批次必须有兽医检疫合格证明,首次供货前提供兽药残留达标、无禁用药物保证函,每年提供至少一次当年官方检验报告。印章清晰清楚可查。</w:t>
            </w:r>
          </w:p>
        </w:tc>
      </w:tr>
      <w:tr w14:paraId="72E7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34D3C89F">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7065B1EF">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2D787CCB">
            <w:pPr>
              <w:spacing w:line="360" w:lineRule="auto"/>
              <w:rPr>
                <w:rFonts w:ascii="Calibri" w:hAnsi="Calibri" w:eastAsia="宋体" w:cs="Times New Roman"/>
                <w:sz w:val="24"/>
                <w:szCs w:val="24"/>
              </w:rPr>
            </w:pPr>
            <w:r>
              <w:rPr>
                <w:rFonts w:hint="eastAsia" w:ascii="Calibri" w:hAnsi="宋体" w:eastAsia="宋体" w:cs="宋体"/>
                <w:sz w:val="24"/>
                <w:szCs w:val="24"/>
                <w:lang w:bidi="zh-CN"/>
              </w:rPr>
              <w:t>畜禽类</w:t>
            </w:r>
          </w:p>
        </w:tc>
        <w:tc>
          <w:tcPr>
            <w:tcW w:w="4375" w:type="dxa"/>
            <w:vAlign w:val="center"/>
          </w:tcPr>
          <w:p w14:paraId="7A7B2F98">
            <w:pPr>
              <w:spacing w:line="360" w:lineRule="auto"/>
              <w:rPr>
                <w:rFonts w:ascii="Calibri" w:hAnsi="宋体" w:eastAsia="宋体" w:cs="宋体"/>
                <w:sz w:val="24"/>
                <w:szCs w:val="24"/>
                <w:lang w:bidi="zh-CN"/>
              </w:rPr>
            </w:pPr>
            <w:r>
              <w:rPr>
                <w:rFonts w:hint="eastAsia" w:ascii="Calibri" w:hAnsi="宋体" w:eastAsia="宋体" w:cs="宋体"/>
                <w:sz w:val="24"/>
                <w:szCs w:val="24"/>
                <w:lang w:bidi="zh-CN"/>
              </w:rPr>
              <w:t>每批次必须有兽医检疫合格证明，首次供货前提供兽药残留达标、无禁用药物保证函，每年提供至少一次当年官方检验报告。</w:t>
            </w:r>
          </w:p>
          <w:p w14:paraId="77A67FF4">
            <w:pPr>
              <w:spacing w:line="360" w:lineRule="auto"/>
              <w:rPr>
                <w:rFonts w:ascii="Calibri" w:hAnsi="Calibri" w:eastAsia="宋体" w:cs="Times New Roman"/>
                <w:sz w:val="24"/>
                <w:szCs w:val="24"/>
              </w:rPr>
            </w:pPr>
            <w:r>
              <w:rPr>
                <w:rFonts w:hint="eastAsia" w:ascii="Calibri" w:hAnsi="宋体" w:eastAsia="宋体" w:cs="宋体"/>
                <w:sz w:val="24"/>
                <w:szCs w:val="24"/>
                <w:lang w:bidi="zh-CN"/>
              </w:rPr>
              <w:t>印章清晰清楚可查。</w:t>
            </w:r>
          </w:p>
        </w:tc>
      </w:tr>
      <w:tr w14:paraId="67E2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0974DCAD">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23B175CB">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2BB3A063">
            <w:pPr>
              <w:spacing w:line="360" w:lineRule="auto"/>
              <w:rPr>
                <w:rFonts w:ascii="Calibri" w:hAnsi="Calibri" w:eastAsia="宋体" w:cs="Times New Roman"/>
                <w:sz w:val="24"/>
                <w:szCs w:val="24"/>
              </w:rPr>
            </w:pPr>
            <w:r>
              <w:rPr>
                <w:rFonts w:hint="eastAsia" w:ascii="Calibri" w:hAnsi="宋体" w:eastAsia="宋体" w:cs="宋体"/>
                <w:sz w:val="24"/>
                <w:szCs w:val="24"/>
                <w:lang w:bidi="zh-CN"/>
              </w:rPr>
              <w:t>禽蛋类</w:t>
            </w:r>
          </w:p>
        </w:tc>
        <w:tc>
          <w:tcPr>
            <w:tcW w:w="4375" w:type="dxa"/>
            <w:vAlign w:val="center"/>
          </w:tcPr>
          <w:p w14:paraId="43AB556D">
            <w:pPr>
              <w:spacing w:line="360" w:lineRule="auto"/>
              <w:rPr>
                <w:rFonts w:ascii="Calibri" w:hAnsi="Calibri" w:eastAsia="宋体" w:cs="Times New Roman"/>
                <w:sz w:val="24"/>
                <w:szCs w:val="24"/>
              </w:rPr>
            </w:pPr>
            <w:r>
              <w:rPr>
                <w:rFonts w:hint="eastAsia" w:ascii="Calibri" w:hAnsi="宋体" w:eastAsia="宋体" w:cs="宋体"/>
                <w:sz w:val="24"/>
                <w:szCs w:val="24"/>
                <w:lang w:bidi="zh-CN"/>
              </w:rPr>
              <w:t>蛋外壳有层霜状粉末,壳表面比较粗糙，但有光泽;用光照,能透光,呈桔红色,气室小而透亮,蛋黄轮廓，将蛋轻轻摇动,听不到声音或感觉不到振动的为新鲜蛋</w:t>
            </w:r>
          </w:p>
        </w:tc>
      </w:tr>
      <w:tr w14:paraId="556C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4D3A4744">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4ED2F795">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624C8EAA">
            <w:pPr>
              <w:spacing w:line="360" w:lineRule="auto"/>
              <w:rPr>
                <w:rFonts w:ascii="Calibri" w:hAnsi="Calibri" w:eastAsia="宋体" w:cs="Times New Roman"/>
                <w:sz w:val="24"/>
                <w:szCs w:val="24"/>
              </w:rPr>
            </w:pPr>
            <w:r>
              <w:rPr>
                <w:rFonts w:hint="eastAsia" w:ascii="Calibri" w:hAnsi="宋体" w:eastAsia="宋体" w:cs="宋体"/>
                <w:sz w:val="24"/>
                <w:szCs w:val="24"/>
                <w:lang w:bidi="zh-CN"/>
              </w:rPr>
              <w:t>鱼类</w:t>
            </w:r>
          </w:p>
        </w:tc>
        <w:tc>
          <w:tcPr>
            <w:tcW w:w="4375" w:type="dxa"/>
            <w:vAlign w:val="center"/>
          </w:tcPr>
          <w:p w14:paraId="1CEE6E1F">
            <w:pPr>
              <w:spacing w:line="360" w:lineRule="auto"/>
              <w:rPr>
                <w:rFonts w:ascii="Calibri" w:hAnsi="Calibri" w:eastAsia="宋体" w:cs="Times New Roman"/>
                <w:sz w:val="24"/>
                <w:szCs w:val="24"/>
              </w:rPr>
            </w:pPr>
            <w:r>
              <w:rPr>
                <w:rFonts w:hint="eastAsia" w:ascii="Calibri" w:hAnsi="宋体" w:eastAsia="宋体" w:cs="宋体"/>
                <w:sz w:val="24"/>
                <w:szCs w:val="24"/>
                <w:lang w:bidi="zh-CN"/>
              </w:rPr>
              <w:t>首次供货前提供保证函、每一年至少提供一次当年官方检验报告。</w:t>
            </w:r>
          </w:p>
        </w:tc>
      </w:tr>
      <w:tr w14:paraId="6023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27E23AB1">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243B28F3">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7EBF6C0E">
            <w:pPr>
              <w:spacing w:line="360" w:lineRule="auto"/>
              <w:rPr>
                <w:rFonts w:ascii="Calibri" w:hAnsi="Calibri" w:eastAsia="宋体" w:cs="Times New Roman"/>
                <w:sz w:val="24"/>
                <w:szCs w:val="24"/>
              </w:rPr>
            </w:pPr>
            <w:r>
              <w:rPr>
                <w:rFonts w:hint="eastAsia" w:ascii="Calibri" w:hAnsi="宋体" w:eastAsia="宋体" w:cs="宋体"/>
                <w:sz w:val="24"/>
                <w:szCs w:val="24"/>
                <w:lang w:bidi="zh-CN"/>
              </w:rPr>
              <w:t>冻品类</w:t>
            </w:r>
          </w:p>
        </w:tc>
        <w:tc>
          <w:tcPr>
            <w:tcW w:w="4375" w:type="dxa"/>
            <w:vAlign w:val="center"/>
          </w:tcPr>
          <w:p w14:paraId="783A3362">
            <w:pPr>
              <w:spacing w:line="360" w:lineRule="auto"/>
              <w:rPr>
                <w:rFonts w:ascii="Calibri" w:hAnsi="Calibri" w:eastAsia="宋体" w:cs="Times New Roman"/>
                <w:sz w:val="24"/>
                <w:szCs w:val="24"/>
              </w:rPr>
            </w:pPr>
            <w:r>
              <w:rPr>
                <w:rFonts w:hint="eastAsia" w:ascii="Calibri" w:hAnsi="宋体" w:eastAsia="宋体" w:cs="宋体"/>
                <w:sz w:val="24"/>
                <w:szCs w:val="24"/>
                <w:lang w:bidi="zh-CN"/>
              </w:rPr>
              <w:t>首次供货前提供保证函、每一年至少提供一次当年官方检验报告。查验合格服务商名录,来源于合格服务商。</w:t>
            </w:r>
          </w:p>
        </w:tc>
      </w:tr>
      <w:tr w14:paraId="429A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2" w:type="dxa"/>
            <w:vMerge w:val="continue"/>
            <w:vAlign w:val="center"/>
          </w:tcPr>
          <w:p w14:paraId="210F20F7">
            <w:pPr>
              <w:widowControl w:val="0"/>
              <w:spacing w:line="360" w:lineRule="auto"/>
              <w:ind w:left="0"/>
              <w:jc w:val="center"/>
              <w:rPr>
                <w:rFonts w:ascii="宋体" w:hAnsi="宋体" w:eastAsia="宋体" w:cs="宋体"/>
                <w:kern w:val="2"/>
                <w:sz w:val="24"/>
                <w:szCs w:val="24"/>
                <w:lang w:val="en-US" w:eastAsia="zh-CN" w:bidi="zh-CN"/>
              </w:rPr>
            </w:pPr>
          </w:p>
        </w:tc>
        <w:tc>
          <w:tcPr>
            <w:tcW w:w="1372" w:type="dxa"/>
            <w:vMerge w:val="continue"/>
            <w:vAlign w:val="center"/>
          </w:tcPr>
          <w:p w14:paraId="0B8A5728">
            <w:pPr>
              <w:widowControl w:val="0"/>
              <w:spacing w:line="360" w:lineRule="auto"/>
              <w:ind w:left="0"/>
              <w:jc w:val="center"/>
              <w:rPr>
                <w:rFonts w:ascii="宋体" w:hAnsi="宋体" w:eastAsia="宋体" w:cs="宋体"/>
                <w:kern w:val="2"/>
                <w:sz w:val="24"/>
                <w:szCs w:val="24"/>
                <w:lang w:val="en-US" w:eastAsia="zh-CN" w:bidi="zh-CN"/>
              </w:rPr>
            </w:pPr>
          </w:p>
        </w:tc>
        <w:tc>
          <w:tcPr>
            <w:tcW w:w="1423" w:type="dxa"/>
            <w:vAlign w:val="center"/>
          </w:tcPr>
          <w:p w14:paraId="760AC04E">
            <w:pPr>
              <w:spacing w:line="360" w:lineRule="auto"/>
              <w:rPr>
                <w:rFonts w:ascii="Calibri" w:hAnsi="Calibri" w:eastAsia="宋体" w:cs="Times New Roman"/>
                <w:sz w:val="24"/>
                <w:szCs w:val="24"/>
              </w:rPr>
            </w:pPr>
            <w:r>
              <w:rPr>
                <w:rFonts w:hint="eastAsia" w:ascii="Calibri" w:hAnsi="宋体" w:eastAsia="宋体" w:cs="宋体"/>
                <w:sz w:val="24"/>
                <w:szCs w:val="24"/>
                <w:lang w:bidi="zh-CN"/>
              </w:rPr>
              <w:t>米面类</w:t>
            </w:r>
          </w:p>
        </w:tc>
        <w:tc>
          <w:tcPr>
            <w:tcW w:w="4375" w:type="dxa"/>
            <w:vAlign w:val="center"/>
          </w:tcPr>
          <w:p w14:paraId="276A5617">
            <w:pPr>
              <w:spacing w:line="360" w:lineRule="auto"/>
              <w:rPr>
                <w:rFonts w:ascii="Calibri" w:hAnsi="Calibri" w:eastAsia="宋体" w:cs="Times New Roman"/>
                <w:sz w:val="24"/>
                <w:szCs w:val="24"/>
              </w:rPr>
            </w:pPr>
            <w:r>
              <w:rPr>
                <w:rFonts w:hint="eastAsia" w:ascii="Calibri" w:hAnsi="宋体" w:eastAsia="宋体" w:cs="宋体"/>
                <w:sz w:val="24"/>
                <w:szCs w:val="24"/>
                <w:lang w:bidi="zh-CN"/>
              </w:rPr>
              <w:t>面粉含水量在 12 - 13 %之间,有正常气味，颜色较淡。</w:t>
            </w:r>
          </w:p>
        </w:tc>
      </w:tr>
      <w:tr w14:paraId="1F5A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862" w:type="dxa"/>
            <w:vAlign w:val="center"/>
          </w:tcPr>
          <w:p w14:paraId="0604639C">
            <w:pPr>
              <w:widowControl w:val="0"/>
              <w:spacing w:line="360" w:lineRule="auto"/>
              <w:ind w:left="0"/>
              <w:jc w:val="center"/>
              <w:rPr>
                <w:rFonts w:ascii="宋体" w:hAnsi="宋体" w:eastAsia="宋体" w:cs="宋体"/>
                <w:kern w:val="2"/>
                <w:sz w:val="24"/>
                <w:szCs w:val="24"/>
                <w:lang w:val="en-US" w:eastAsia="zh-CN" w:bidi="zh-CN"/>
              </w:rPr>
            </w:pPr>
            <w:r>
              <w:rPr>
                <w:rFonts w:hint="eastAsia" w:ascii="宋体" w:hAnsi="宋体" w:eastAsia="宋体" w:cs="宋体"/>
                <w:kern w:val="2"/>
                <w:sz w:val="24"/>
                <w:szCs w:val="24"/>
                <w:lang w:val="en-US" w:eastAsia="zh-CN" w:bidi="zh-CN"/>
              </w:rPr>
              <w:t>3</w:t>
            </w:r>
          </w:p>
        </w:tc>
        <w:tc>
          <w:tcPr>
            <w:tcW w:w="1372" w:type="dxa"/>
            <w:vAlign w:val="center"/>
          </w:tcPr>
          <w:p w14:paraId="56A45288">
            <w:pPr>
              <w:spacing w:line="360" w:lineRule="auto"/>
              <w:rPr>
                <w:rFonts w:ascii="宋体" w:hAnsi="宋体" w:eastAsia="宋体" w:cs="宋体"/>
                <w:sz w:val="24"/>
                <w:szCs w:val="24"/>
                <w:lang w:bidi="zh-CN"/>
              </w:rPr>
            </w:pPr>
            <w:r>
              <w:rPr>
                <w:rFonts w:hint="eastAsia" w:ascii="Calibri" w:hAnsi="宋体" w:eastAsia="宋体" w:cs="宋体"/>
                <w:sz w:val="24"/>
                <w:szCs w:val="24"/>
                <w:lang w:bidi="zh-CN"/>
              </w:rPr>
              <w:t>反餐饮浪费</w:t>
            </w:r>
          </w:p>
        </w:tc>
        <w:tc>
          <w:tcPr>
            <w:tcW w:w="1423" w:type="dxa"/>
            <w:vAlign w:val="center"/>
          </w:tcPr>
          <w:p w14:paraId="41896569">
            <w:pPr>
              <w:spacing w:line="360" w:lineRule="auto"/>
              <w:rPr>
                <w:rFonts w:ascii="Calibri" w:hAnsi="宋体" w:eastAsia="宋体" w:cs="宋体"/>
                <w:sz w:val="24"/>
                <w:szCs w:val="24"/>
                <w:lang w:bidi="zh-CN"/>
              </w:rPr>
            </w:pPr>
            <w:r>
              <w:rPr>
                <w:rFonts w:hint="eastAsia" w:ascii="Calibri" w:hAnsi="宋体" w:eastAsia="宋体" w:cs="宋体"/>
                <w:sz w:val="24"/>
                <w:szCs w:val="24"/>
                <w:lang w:bidi="zh-CN"/>
              </w:rPr>
              <w:t>光盘行动；</w:t>
            </w:r>
          </w:p>
          <w:p w14:paraId="11EDE44D">
            <w:pPr>
              <w:spacing w:line="360" w:lineRule="auto"/>
              <w:rPr>
                <w:rFonts w:ascii="Calibri" w:hAnsi="宋体" w:eastAsia="宋体" w:cs="宋体"/>
                <w:sz w:val="24"/>
                <w:szCs w:val="24"/>
                <w:lang w:bidi="zh-CN"/>
              </w:rPr>
            </w:pPr>
            <w:r>
              <w:rPr>
                <w:rFonts w:hint="eastAsia" w:ascii="Calibri" w:hAnsi="宋体" w:eastAsia="宋体" w:cs="宋体"/>
                <w:sz w:val="24"/>
                <w:szCs w:val="24"/>
                <w:lang w:bidi="zh-CN"/>
              </w:rPr>
              <w:t>厨余垃圾分类</w:t>
            </w:r>
          </w:p>
        </w:tc>
        <w:tc>
          <w:tcPr>
            <w:tcW w:w="4375" w:type="dxa"/>
            <w:vAlign w:val="center"/>
          </w:tcPr>
          <w:p w14:paraId="7C1A0127">
            <w:pPr>
              <w:spacing w:line="360" w:lineRule="auto"/>
              <w:rPr>
                <w:rFonts w:ascii="Calibri" w:hAnsi="宋体" w:eastAsia="宋体" w:cs="宋体"/>
                <w:sz w:val="24"/>
                <w:szCs w:val="24"/>
                <w:lang w:bidi="zh-CN"/>
              </w:rPr>
            </w:pPr>
            <w:r>
              <w:rPr>
                <w:rFonts w:hint="eastAsia" w:ascii="Calibri" w:hAnsi="宋体" w:eastAsia="宋体" w:cs="宋体"/>
                <w:sz w:val="24"/>
                <w:szCs w:val="24"/>
                <w:lang w:bidi="zh-CN"/>
              </w:rPr>
              <w:t>按照《中华人民共和国反食品浪费法》，做好食堂反餐饮浪费工作，安排督导员巡查；按照厨余垃圾进行分类存放，每日及时清理。</w:t>
            </w:r>
          </w:p>
        </w:tc>
      </w:tr>
    </w:tbl>
    <w:p w14:paraId="5A4BEEC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3B420E"/>
    <w:rsid w:val="693B4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2026-04-16T07:56:00Z</dcterms:created>
  <dc:creator>刘海召</dc:creator>
  <cp:lastModifiedBy>刘海召</cp:lastModifiedBy>
  <dcterms:modified xsi:type="dcterms:W3CDTF">2026-04-16T07:57:14Z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03943F1F88B145A1AB19937372D930A8_11</vt:lpwstr>
  </property>
  <property fmtid="{D5CDD505-2E9C-101B-9397-08002B2CF9AE}" pid="4" name="KSOTemplateDocerSaveRecord">
    <vt:lpwstr>eyJoZGlkIjoiODA0MjMyMzAyMzNkOWQ5NDMxMzg5ZDc2ZmE4YTJmMTUiLCJ1c2VySWQiOiIyOTIyMzgzNTEifQ==</vt:lpwstr>
  </property>
</Properties>
</file>