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版本号：慧科ZX-CG02045BF20260430003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园区高低压电气维保</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慧科ZX-CG02045BF</w:t>
      </w:r>
      <w:r>
        <w:br/>
      </w:r>
      <w:r>
        <w:br/>
      </w:r>
      <w:r>
        <w:br/>
      </w:r>
    </w:p>
    <w:p>
      <w:pPr>
        <w:pStyle w:val="null3"/>
        <w:jc w:val="center"/>
        <w:outlineLvl w:val="2"/>
      </w:pPr>
      <w:r>
        <w:rPr>
          <w:rFonts w:ascii="仿宋_GB2312" w:hAnsi="仿宋_GB2312" w:cs="仿宋_GB2312" w:eastAsia="仿宋_GB2312"/>
          <w:sz w:val="28"/>
          <w:b/>
        </w:rPr>
        <w:t>西安市体育训练中心（西安市人民体育场）</w:t>
      </w:r>
    </w:p>
    <w:p>
      <w:pPr>
        <w:pStyle w:val="null3"/>
        <w:jc w:val="center"/>
        <w:outlineLvl w:val="2"/>
      </w:pPr>
      <w:r>
        <w:rPr>
          <w:rFonts w:ascii="仿宋_GB2312" w:hAnsi="仿宋_GB2312" w:cs="仿宋_GB2312" w:eastAsia="仿宋_GB2312"/>
          <w:sz w:val="28"/>
          <w:b/>
        </w:rPr>
        <w:t>陕西慧科工程管理咨询有限公司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陕西慧科工程管理咨询有限公司</w:t>
      </w:r>
      <w:r>
        <w:rPr>
          <w:rFonts w:ascii="仿宋_GB2312" w:hAnsi="仿宋_GB2312" w:cs="仿宋_GB2312" w:eastAsia="仿宋_GB2312"/>
        </w:rPr>
        <w:t>（以下简称“代理机构”）受</w:t>
      </w:r>
      <w:r>
        <w:rPr>
          <w:rFonts w:ascii="仿宋_GB2312" w:hAnsi="仿宋_GB2312" w:cs="仿宋_GB2312" w:eastAsia="仿宋_GB2312"/>
        </w:rPr>
        <w:t>西安市体育训练中心（西安市人民体育场）</w:t>
      </w:r>
      <w:r>
        <w:rPr>
          <w:rFonts w:ascii="仿宋_GB2312" w:hAnsi="仿宋_GB2312" w:cs="仿宋_GB2312" w:eastAsia="仿宋_GB2312"/>
        </w:rPr>
        <w:t>委托，拟对</w:t>
      </w:r>
      <w:r>
        <w:rPr>
          <w:rFonts w:ascii="仿宋_GB2312" w:hAnsi="仿宋_GB2312" w:cs="仿宋_GB2312" w:eastAsia="仿宋_GB2312"/>
        </w:rPr>
        <w:t>园区高低压电气维保</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慧科ZX-CG02045BF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园区高低压电气维保</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体育训练中心(西安市人民体育场)各场馆配电室及办公楼配电室运行3年以来，各配电设备基本运转正常。根据“中华人民共和国电力行业标准DL/T596-2021(电力设备预防性试验规程"要求，配电设备需定期开展测试、定检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采购包1（园区高低压电气维保）：属于专门面向小微企业采购。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信用：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2、关联关系承诺：单位负责人为同一人或者存在直接控股、管理关系的不同供应商，不得参加同一合同项下的政府采购活动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3、法定代表人授权委托书：法定代表人参加磋商的，须提供本人身份证复印件（附在响应文件中）；法定代表人授权他人参加磋商的，须提供法定代表人授权委托书。</w:t>
      </w:r>
    </w:p>
    <w:p>
      <w:pPr>
        <w:pStyle w:val="null3"/>
      </w:pPr>
      <w:r>
        <w:rPr>
          <w:rFonts w:ascii="仿宋_GB2312" w:hAnsi="仿宋_GB2312" w:cs="仿宋_GB2312" w:eastAsia="仿宋_GB2312"/>
        </w:rPr>
        <w:t>4、供应商资质：须具备承装（修、试）电力设施许可证三级或以上资质。</w:t>
      </w:r>
    </w:p>
    <w:p>
      <w:pPr>
        <w:pStyle w:val="null3"/>
      </w:pPr>
      <w:r>
        <w:rPr>
          <w:rFonts w:ascii="仿宋_GB2312" w:hAnsi="仿宋_GB2312" w:cs="仿宋_GB2312" w:eastAsia="仿宋_GB2312"/>
        </w:rPr>
        <w:t>5、本项目不接受联合体磋商：本项目不接受联合体磋商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西安市体育训练中心（西安市人民体育场）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西安市新城区西五路26号市体育场办公楼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029-88065223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陕西慧科工程管理咨询有限公司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西安市高新区锦业一路56号研祥城市广场C座3楼C-306室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达涛涛、郭星桥、樊军辉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029-89384142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采购包1：1,790,000.00元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代理服务费收费标准：以成交金额为基数，参照国家计委颁发的《招标代理服务收费管理暂行办法》（计价格〔2002〕1980号）和财政部颁发的《政府采购代理机构管理暂行办法》(财库〔2018〕2号)的有关规定执行。 代理服务费缴纳账号： 开户名称：陕西慧科工程管理咨询有限公司 开户银行：交通银行股份有限公司西安光华路支行 账 号：611301135013001841428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西安市体育训练中心（西安市人民体育场）</w:t>
      </w:r>
      <w:r>
        <w:rPr>
          <w:rFonts w:ascii="仿宋_GB2312" w:hAnsi="仿宋_GB2312" w:cs="仿宋_GB2312" w:eastAsia="仿宋_GB2312"/>
        </w:rPr>
        <w:t>和</w:t>
      </w:r>
      <w:r>
        <w:rPr>
          <w:rFonts w:ascii="仿宋_GB2312" w:hAnsi="仿宋_GB2312" w:cs="仿宋_GB2312" w:eastAsia="仿宋_GB2312"/>
        </w:rPr>
        <w:t>陕西慧科工程管理咨询有限公司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西安市体育训练中心（西安市人民体育场）</w:t>
      </w:r>
      <w:r>
        <w:rPr>
          <w:rFonts w:ascii="仿宋_GB2312" w:hAnsi="仿宋_GB2312" w:cs="仿宋_GB2312" w:eastAsia="仿宋_GB2312"/>
        </w:rPr>
        <w:t>负责解释。除上述磋商文件内容，其他内容由</w:t>
      </w:r>
      <w:r>
        <w:rPr>
          <w:rFonts w:ascii="仿宋_GB2312" w:hAnsi="仿宋_GB2312" w:cs="仿宋_GB2312" w:eastAsia="仿宋_GB2312"/>
        </w:rPr>
        <w:t>陕西慧科工程管理咨询有限公司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西安市体育训练中心（西安市人民体育场）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陕西慧科工程管理咨询有限公司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陕西慧科工程管理咨询有限公司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联系人：达涛涛</w:t>
      </w:r>
    </w:p>
    <w:p>
      <w:pPr>
        <w:pStyle w:val="null3"/>
      </w:pPr>
      <w:r>
        <w:rPr>
          <w:rFonts w:ascii="仿宋_GB2312" w:hAnsi="仿宋_GB2312" w:cs="仿宋_GB2312" w:eastAsia="仿宋_GB2312"/>
        </w:rPr>
        <w:t>联系电话：029-89384142</w:t>
      </w:r>
    </w:p>
    <w:p>
      <w:pPr>
        <w:pStyle w:val="null3"/>
      </w:pPr>
      <w:r>
        <w:rPr>
          <w:rFonts w:ascii="仿宋_GB2312" w:hAnsi="仿宋_GB2312" w:cs="仿宋_GB2312" w:eastAsia="仿宋_GB2312"/>
        </w:rPr>
        <w:t>地址：西安市高新区锦业一路56号研祥城市广场C座3楼C-306室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体育训练中心(西安市人民体育场)各场馆配电室及办公楼配电室运行3年以来，各配电设备基本运转正常。根据“中华人民共和国电力行业标准DL/T596-2021(电力设备预防性试验规程"要求，配电设备需定期开展测试、定检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1,790,000.00</w:t>
      </w:r>
    </w:p>
    <w:p>
      <w:pPr>
        <w:pStyle w:val="null3"/>
      </w:pPr>
      <w:r>
        <w:rPr>
          <w:rFonts w:ascii="仿宋_GB2312" w:hAnsi="仿宋_GB2312" w:cs="仿宋_GB2312" w:eastAsia="仿宋_GB2312"/>
        </w:rPr>
        <w:t>采购包最高限价（元）: 1,790,000.00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高低压电气维保</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1,790,000.00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标的名称：高低压电气维保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sz w:val="21"/>
              </w:rPr>
              <w:t>西安市体育训练中心</w:t>
            </w:r>
            <w:r>
              <w:rPr>
                <w:rFonts w:ascii="仿宋_GB2312" w:hAnsi="仿宋_GB2312" w:cs="仿宋_GB2312" w:eastAsia="仿宋_GB2312"/>
                <w:sz w:val="21"/>
              </w:rPr>
              <w:t>(西安市人民体育场)项目于2023年开始运营，各场馆配电室及办公楼配电室运行3年以来，各配电设备基本运转正常。根据“中华人民共和国电力行业标准DL/T596-2021(电力设备预防性试验规程)”要求，配电设备需定期开展测试、定检服务。</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二、服务内容</w:t>
            </w:r>
            <w:r>
              <w:rPr>
                <w:rFonts w:ascii="仿宋_GB2312" w:hAnsi="仿宋_GB2312" w:cs="仿宋_GB2312" w:eastAsia="仿宋_GB2312"/>
              </w:rPr>
              <w:t>(包括工作区域、工作内容等)</w:t>
            </w:r>
          </w:p>
          <w:p>
            <w:pPr>
              <w:pStyle w:val="null3"/>
            </w:pPr>
            <w:r>
              <w:rPr>
                <w:rFonts w:ascii="仿宋_GB2312" w:hAnsi="仿宋_GB2312" w:cs="仿宋_GB2312" w:eastAsia="仿宋_GB2312"/>
                <w:sz w:val="21"/>
              </w:rPr>
              <w:t>为保障</w:t>
            </w:r>
            <w:r>
              <w:rPr>
                <w:rFonts w:ascii="仿宋_GB2312" w:hAnsi="仿宋_GB2312" w:cs="仿宋_GB2312" w:eastAsia="仿宋_GB2312"/>
                <w:sz w:val="21"/>
              </w:rPr>
              <w:t>10kV配电房的安全运行、杜绝发生任何人身及设备伤害事故，以及确保设备稳定运行，及对设备运行情况及时了解，消除故障隐患，促进安全生产必须对高、低压柜、直流屏、变压器、接地系统等设备和装置进行检测。包含地下车库及设备用房配电室，射击击剑馆配电室，室外看台配电室，田径馆配电室，游泳跳水训练馆配电室，综合训练馆配电室，以及每个月不低于1次的巡检任务。</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1、人员资质与操作规范:</w:t>
            </w:r>
          </w:p>
          <w:p>
            <w:pPr>
              <w:pStyle w:val="null3"/>
            </w:pPr>
            <w:r>
              <w:rPr>
                <w:rFonts w:ascii="仿宋_GB2312" w:hAnsi="仿宋_GB2312" w:cs="仿宋_GB2312" w:eastAsia="仿宋_GB2312"/>
              </w:rPr>
              <w:t>维保人员必须持有特种作业操作证（电工），操作项目应包括：高压电工作业、低压电工作业、电气试验作业、继电保护作业，确保具备进行电气设备维保的专业资质。</w:t>
            </w:r>
          </w:p>
          <w:p>
            <w:pPr>
              <w:pStyle w:val="null3"/>
            </w:pPr>
            <w:r>
              <w:rPr>
                <w:rFonts w:ascii="仿宋_GB2312" w:hAnsi="仿宋_GB2312" w:cs="仿宋_GB2312" w:eastAsia="仿宋_GB2312"/>
              </w:rPr>
              <w:t>维保人员应严格按照国家行业标准和操作规程进行工作，包括但不限于设备检查、清洁、紧固、润滑、更换和测试等环节。</w:t>
            </w:r>
          </w:p>
          <w:p>
            <w:pPr>
              <w:pStyle w:val="null3"/>
            </w:pPr>
            <w:r>
              <w:rPr>
                <w:rFonts w:ascii="仿宋_GB2312" w:hAnsi="仿宋_GB2312" w:cs="仿宋_GB2312" w:eastAsia="仿宋_GB2312"/>
              </w:rPr>
              <w:t>2、设备检查与测试:</w:t>
            </w:r>
          </w:p>
          <w:p>
            <w:pPr>
              <w:pStyle w:val="null3"/>
            </w:pPr>
            <w:r>
              <w:rPr>
                <w:rFonts w:ascii="仿宋_GB2312" w:hAnsi="仿宋_GB2312" w:cs="仿宋_GB2312" w:eastAsia="仿宋_GB2312"/>
              </w:rPr>
              <w:t>对配电设施进行全面的检查，发现并记录设备的异常情况，如高压、低压开关的闭合状态，指示灯和仪表的指示情况，变压器温度等。</w:t>
            </w:r>
          </w:p>
          <w:p>
            <w:pPr>
              <w:pStyle w:val="null3"/>
            </w:pPr>
            <w:r>
              <w:rPr>
                <w:rFonts w:ascii="仿宋_GB2312" w:hAnsi="仿宋_GB2312" w:cs="仿宋_GB2312" w:eastAsia="仿宋_GB2312"/>
              </w:rPr>
              <w:t>定期对设备进行性能测试，如测量变压器的油色、油位，检查接地线是否齐全并符合要求，以及测量每组电容器的容量等。</w:t>
            </w:r>
          </w:p>
          <w:p>
            <w:pPr>
              <w:pStyle w:val="null3"/>
            </w:pPr>
            <w:r>
              <w:rPr>
                <w:rFonts w:ascii="仿宋_GB2312" w:hAnsi="仿宋_GB2312" w:cs="仿宋_GB2312" w:eastAsia="仿宋_GB2312"/>
              </w:rPr>
              <w:t>3、清洁与防腐:</w:t>
            </w:r>
          </w:p>
          <w:p>
            <w:pPr>
              <w:pStyle w:val="null3"/>
            </w:pPr>
            <w:r>
              <w:rPr>
                <w:rFonts w:ascii="仿宋_GB2312" w:hAnsi="仿宋_GB2312" w:cs="仿宋_GB2312" w:eastAsia="仿宋_GB2312"/>
              </w:rPr>
              <w:t>对配电设备进行清洁，去除灰尘、油污等，确保设备的散热和绝缘性能。对露出在外的导体接头进行防腐处理，如采用电力复合脂直接涂抹，避免氧化接头，确保接口使用可靠。</w:t>
            </w:r>
          </w:p>
          <w:p>
            <w:pPr>
              <w:pStyle w:val="null3"/>
            </w:pPr>
            <w:r>
              <w:rPr>
                <w:rFonts w:ascii="仿宋_GB2312" w:hAnsi="仿宋_GB2312" w:cs="仿宋_GB2312" w:eastAsia="仿宋_GB2312"/>
              </w:rPr>
              <w:t>4、安全措施:</w:t>
            </w:r>
          </w:p>
          <w:p>
            <w:pPr>
              <w:pStyle w:val="null3"/>
            </w:pPr>
            <w:r>
              <w:rPr>
                <w:rFonts w:ascii="仿宋_GB2312" w:hAnsi="仿宋_GB2312" w:cs="仿宋_GB2312" w:eastAsia="仿宋_GB2312"/>
              </w:rPr>
              <w:t>在维保过程中，应全面落实各项安全措施，包括个人防护、设备隔离、警示标识、紧急预案等</w:t>
            </w:r>
          </w:p>
          <w:p>
            <w:pPr>
              <w:pStyle w:val="null3"/>
            </w:pPr>
            <w:r>
              <w:rPr>
                <w:rFonts w:ascii="仿宋_GB2312" w:hAnsi="仿宋_GB2312" w:cs="仿宋_GB2312" w:eastAsia="仿宋_GB2312"/>
              </w:rPr>
              <w:t>确保配电房环境安全，如墙身、地面无裂痕、无漏水、渗水现象，电缆沟内无积水等</w:t>
            </w:r>
          </w:p>
          <w:p>
            <w:pPr>
              <w:pStyle w:val="null3"/>
            </w:pPr>
            <w:r>
              <w:rPr>
                <w:rFonts w:ascii="仿宋_GB2312" w:hAnsi="仿宋_GB2312" w:cs="仿宋_GB2312" w:eastAsia="仿宋_GB2312"/>
              </w:rPr>
              <w:t>5、维护保养记录:</w:t>
            </w:r>
          </w:p>
          <w:p>
            <w:pPr>
              <w:pStyle w:val="null3"/>
            </w:pPr>
            <w:r>
              <w:rPr>
                <w:rFonts w:ascii="仿宋_GB2312" w:hAnsi="仿宋_GB2312" w:cs="仿宋_GB2312" w:eastAsia="仿宋_GB2312"/>
              </w:rPr>
              <w:t>每次维保工作都应详细记录，包括维保的时间、人员、内容、发现的问题及处理结果等。</w:t>
            </w:r>
          </w:p>
          <w:p>
            <w:pPr>
              <w:pStyle w:val="null3"/>
            </w:pPr>
            <w:r>
              <w:rPr>
                <w:rFonts w:ascii="仿宋_GB2312" w:hAnsi="仿宋_GB2312" w:cs="仿宋_GB2312" w:eastAsia="仿宋_GB2312"/>
                <w:sz w:val="21"/>
              </w:rPr>
              <w:t>这些记录有助于追踪设备的维保历史，并为未来的维保工作提供参考。</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★1、维保人员必须持有特种作业操作证（电工），操作项目应包括：高压电工作业、低压电工作业、电气试验作业、继电保护作业，确保具备专业资质。</w:t>
            </w:r>
          </w:p>
          <w:p>
            <w:pPr>
              <w:pStyle w:val="null3"/>
            </w:pPr>
            <w:r>
              <w:rPr>
                <w:rFonts w:ascii="仿宋_GB2312" w:hAnsi="仿宋_GB2312" w:cs="仿宋_GB2312" w:eastAsia="仿宋_GB2312"/>
              </w:rPr>
              <w:t>2、电气设备维保需要使用专业的仪器，这些仪器能够覆盖被测项目的各个电压等级，如0.4kV、10kV等，确保对配电室内的设备进行全面的检测和维保。</w:t>
            </w:r>
          </w:p>
          <w:p>
            <w:pPr>
              <w:pStyle w:val="null3"/>
            </w:pPr>
            <w:r>
              <w:rPr>
                <w:rFonts w:ascii="仿宋_GB2312" w:hAnsi="仿宋_GB2312" w:cs="仿宋_GB2312" w:eastAsia="仿宋_GB2312"/>
              </w:rPr>
              <w:t>3、在维保过程中，需要使用各种安全设备，如个人防护装备、设备隔离装置、警示标示等，以确保维保工作的安全性。</w:t>
            </w:r>
          </w:p>
          <w:p>
            <w:pPr>
              <w:pStyle w:val="null3"/>
            </w:pPr>
            <w:r>
              <w:rPr>
                <w:rFonts w:ascii="仿宋_GB2312" w:hAnsi="仿宋_GB2312" w:cs="仿宋_GB2312" w:eastAsia="仿宋_GB2312"/>
              </w:rPr>
              <w:t>4、维保服务应严格按照国家行业标准和操作规程进行，包括但不限于设备检查、清洁、紧固、润滑、更换和测试等环节。</w:t>
            </w:r>
          </w:p>
          <w:p>
            <w:pPr>
              <w:pStyle w:val="null3"/>
            </w:pPr>
            <w:r>
              <w:rPr>
                <w:rFonts w:ascii="仿宋_GB2312" w:hAnsi="仿宋_GB2312" w:cs="仿宋_GB2312" w:eastAsia="仿宋_GB2312"/>
              </w:rPr>
              <w:t>★</w:t>
            </w:r>
            <w:r>
              <w:rPr>
                <w:rFonts w:ascii="仿宋_GB2312" w:hAnsi="仿宋_GB2312" w:cs="仿宋_GB2312" w:eastAsia="仿宋_GB2312"/>
              </w:rPr>
              <w:t>5、在维保过程中，需要事先通知业主并获得同意，同时在操作现场放置醒目的标牌提示或张贴告示通知。</w:t>
            </w:r>
          </w:p>
          <w:p>
            <w:pPr>
              <w:pStyle w:val="null3"/>
            </w:pPr>
            <w:r>
              <w:rPr>
                <w:rFonts w:ascii="仿宋_GB2312" w:hAnsi="仿宋_GB2312" w:cs="仿宋_GB2312" w:eastAsia="仿宋_GB2312"/>
              </w:rPr>
              <w:t>6、对于业主的服务通知，维保单位应提供24小时抢修响应服务。在配电系统发生故障或线路跳闸时，应在接到报修后迅速响应，并在规定时间内派员到达现场进行故障处理和维修。</w:t>
            </w:r>
          </w:p>
          <w:p>
            <w:pPr>
              <w:pStyle w:val="null3"/>
            </w:pPr>
            <w:r>
              <w:rPr>
                <w:rFonts w:ascii="仿宋_GB2312" w:hAnsi="仿宋_GB2312" w:cs="仿宋_GB2312" w:eastAsia="仿宋_GB2312"/>
              </w:rPr>
              <w:t>7、维保单位应定期向业主提交电气设备运行情况报告。</w:t>
            </w:r>
          </w:p>
          <w:p>
            <w:pPr>
              <w:pStyle w:val="null3"/>
            </w:pPr>
            <w:r>
              <w:rPr>
                <w:rFonts w:ascii="仿宋_GB2312" w:hAnsi="仿宋_GB2312" w:cs="仿宋_GB2312" w:eastAsia="仿宋_GB2312"/>
                <w:sz w:val="21"/>
              </w:rPr>
              <w:t>★</w:t>
            </w:r>
            <w:r>
              <w:rPr>
                <w:rFonts w:ascii="仿宋_GB2312" w:hAnsi="仿宋_GB2312" w:cs="仿宋_GB2312" w:eastAsia="仿宋_GB2312"/>
                <w:sz w:val="21"/>
              </w:rPr>
              <w:t>8、维保单位在维保过程中应全面负责现场人员及设备安全。如因维保不到位导致发生安全、火灾、人员伤亡等事故，维保单位需自行承担责任并赔偿损失。</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五、商务要求</w:t>
            </w:r>
          </w:p>
          <w:p>
            <w:pPr>
              <w:pStyle w:val="null3"/>
            </w:pPr>
            <w:r>
              <w:rPr>
                <w:rFonts w:ascii="仿宋_GB2312" w:hAnsi="仿宋_GB2312" w:cs="仿宋_GB2312" w:eastAsia="仿宋_GB2312"/>
              </w:rPr>
              <w:t>(一)服务期限</w:t>
            </w:r>
          </w:p>
          <w:p>
            <w:pPr>
              <w:pStyle w:val="null3"/>
            </w:pPr>
            <w:r>
              <w:rPr>
                <w:rFonts w:ascii="仿宋_GB2312" w:hAnsi="仿宋_GB2312" w:cs="仿宋_GB2312" w:eastAsia="仿宋_GB2312"/>
              </w:rPr>
              <w:t>自</w:t>
            </w:r>
            <w:r>
              <w:rPr>
                <w:rFonts w:ascii="仿宋_GB2312" w:hAnsi="仿宋_GB2312" w:cs="仿宋_GB2312" w:eastAsia="仿宋_GB2312"/>
              </w:rPr>
              <w:t>2026年6月1日起至2027年5月31日止。</w:t>
            </w:r>
          </w:p>
          <w:p>
            <w:pPr>
              <w:pStyle w:val="null3"/>
            </w:pPr>
            <w:r>
              <w:rPr>
                <w:rFonts w:ascii="仿宋_GB2312" w:hAnsi="仿宋_GB2312" w:cs="仿宋_GB2312" w:eastAsia="仿宋_GB2312"/>
              </w:rPr>
              <w:t>(二)款项结算</w:t>
            </w:r>
          </w:p>
          <w:p>
            <w:pPr>
              <w:pStyle w:val="null3"/>
            </w:pPr>
            <w:r>
              <w:rPr>
                <w:rFonts w:ascii="仿宋_GB2312" w:hAnsi="仿宋_GB2312" w:cs="仿宋_GB2312" w:eastAsia="仿宋_GB2312"/>
                <w:sz w:val="21"/>
              </w:rPr>
              <w:t>合同签订后</w:t>
            </w:r>
            <w:r>
              <w:rPr>
                <w:rFonts w:ascii="仿宋_GB2312" w:hAnsi="仿宋_GB2312" w:cs="仿宋_GB2312" w:eastAsia="仿宋_GB2312"/>
                <w:sz w:val="21"/>
              </w:rPr>
              <w:t>5个工作日内</w:t>
            </w:r>
            <w:r>
              <w:rPr>
                <w:rFonts w:ascii="仿宋_GB2312" w:hAnsi="仿宋_GB2312" w:cs="仿宋_GB2312" w:eastAsia="仿宋_GB2312"/>
                <w:sz w:val="21"/>
              </w:rPr>
              <w:t>，达到付款条件起</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日内，支付合同总金额的</w:t>
            </w:r>
            <w:r>
              <w:rPr>
                <w:rFonts w:ascii="仿宋_GB2312" w:hAnsi="仿宋_GB2312" w:cs="仿宋_GB2312" w:eastAsia="仿宋_GB2312"/>
                <w:sz w:val="21"/>
              </w:rPr>
              <w:t>6</w:t>
            </w:r>
            <w:r>
              <w:rPr>
                <w:rFonts w:ascii="仿宋_GB2312" w:hAnsi="仿宋_GB2312" w:cs="仿宋_GB2312" w:eastAsia="仿宋_GB2312"/>
                <w:sz w:val="21"/>
              </w:rPr>
              <w:t>0.00%</w:t>
            </w:r>
            <w:r>
              <w:rPr>
                <w:rFonts w:ascii="仿宋_GB2312" w:hAnsi="仿宋_GB2312" w:cs="仿宋_GB2312" w:eastAsia="仿宋_GB2312"/>
                <w:sz w:val="21"/>
              </w:rPr>
              <w:t>;</w:t>
            </w:r>
            <w:r>
              <w:rPr>
                <w:rFonts w:ascii="仿宋_GB2312" w:hAnsi="仿宋_GB2312" w:cs="仿宋_GB2312" w:eastAsia="仿宋_GB2312"/>
                <w:sz w:val="21"/>
              </w:rPr>
              <w:t>全面维保期间支付维保进度款</w:t>
            </w:r>
            <w:r>
              <w:rPr>
                <w:rFonts w:ascii="仿宋_GB2312" w:hAnsi="仿宋_GB2312" w:cs="仿宋_GB2312" w:eastAsia="仿宋_GB2312"/>
                <w:sz w:val="21"/>
              </w:rPr>
              <w:t>，达到付款条件起</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日内，支付合同总金额的</w:t>
            </w:r>
            <w:r>
              <w:rPr>
                <w:rFonts w:ascii="仿宋_GB2312" w:hAnsi="仿宋_GB2312" w:cs="仿宋_GB2312" w:eastAsia="仿宋_GB2312"/>
                <w:sz w:val="21"/>
              </w:rPr>
              <w:t>3</w:t>
            </w:r>
            <w:r>
              <w:rPr>
                <w:rFonts w:ascii="仿宋_GB2312" w:hAnsi="仿宋_GB2312" w:cs="仿宋_GB2312" w:eastAsia="仿宋_GB2312"/>
                <w:sz w:val="21"/>
              </w:rPr>
              <w:t>0.00%</w:t>
            </w:r>
            <w:r>
              <w:rPr>
                <w:rFonts w:ascii="仿宋_GB2312" w:hAnsi="仿宋_GB2312" w:cs="仿宋_GB2312" w:eastAsia="仿宋_GB2312"/>
                <w:sz w:val="21"/>
              </w:rPr>
              <w:t>;</w:t>
            </w:r>
            <w:r>
              <w:rPr>
                <w:rFonts w:ascii="仿宋_GB2312" w:hAnsi="仿宋_GB2312" w:cs="仿宋_GB2312" w:eastAsia="仿宋_GB2312"/>
                <w:sz w:val="21"/>
              </w:rPr>
              <w:t>项目实施阶段完成后</w:t>
            </w:r>
            <w:r>
              <w:rPr>
                <w:rFonts w:ascii="仿宋_GB2312" w:hAnsi="仿宋_GB2312" w:cs="仿宋_GB2312" w:eastAsia="仿宋_GB2312"/>
                <w:sz w:val="21"/>
              </w:rPr>
              <w:t>5个工作日内</w:t>
            </w:r>
            <w:r>
              <w:rPr>
                <w:rFonts w:ascii="仿宋_GB2312" w:hAnsi="仿宋_GB2312" w:cs="仿宋_GB2312" w:eastAsia="仿宋_GB2312"/>
                <w:sz w:val="21"/>
              </w:rPr>
              <w:t>，达到付款条件起</w:t>
            </w:r>
            <w:r>
              <w:rPr>
                <w:rFonts w:ascii="仿宋_GB2312" w:hAnsi="仿宋_GB2312" w:cs="仿宋_GB2312" w:eastAsia="仿宋_GB2312"/>
                <w:sz w:val="21"/>
              </w:rPr>
              <w:t>5</w:t>
            </w:r>
            <w:r>
              <w:rPr>
                <w:rFonts w:ascii="仿宋_GB2312" w:hAnsi="仿宋_GB2312" w:cs="仿宋_GB2312" w:eastAsia="仿宋_GB2312"/>
                <w:sz w:val="21"/>
              </w:rPr>
              <w:t xml:space="preserve"> </w:t>
            </w:r>
            <w:r>
              <w:rPr>
                <w:rFonts w:ascii="仿宋_GB2312" w:hAnsi="仿宋_GB2312" w:cs="仿宋_GB2312" w:eastAsia="仿宋_GB2312"/>
                <w:sz w:val="21"/>
              </w:rPr>
              <w:t>日内，支付合同总金额的</w:t>
            </w:r>
            <w:r>
              <w:rPr>
                <w:rFonts w:ascii="仿宋_GB2312" w:hAnsi="仿宋_GB2312" w:cs="仿宋_GB2312" w:eastAsia="仿宋_GB2312"/>
                <w:sz w:val="21"/>
              </w:rPr>
              <w:t>1</w:t>
            </w:r>
            <w:r>
              <w:rPr>
                <w:rFonts w:ascii="仿宋_GB2312" w:hAnsi="仿宋_GB2312" w:cs="仿宋_GB2312" w:eastAsia="仿宋_GB2312"/>
                <w:sz w:val="21"/>
              </w:rPr>
              <w:t>0.00%</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六、其他</w:t>
            </w:r>
          </w:p>
          <w:p>
            <w:pPr>
              <w:pStyle w:val="null3"/>
            </w:pPr>
            <w:r>
              <w:rPr>
                <w:rFonts w:ascii="仿宋_GB2312" w:hAnsi="仿宋_GB2312" w:cs="仿宋_GB2312" w:eastAsia="仿宋_GB2312"/>
              </w:rPr>
              <w:t>(一)成果交付要求</w:t>
            </w:r>
          </w:p>
          <w:p>
            <w:pPr>
              <w:pStyle w:val="null3"/>
            </w:pPr>
            <w:r>
              <w:rPr>
                <w:rFonts w:ascii="仿宋_GB2312" w:hAnsi="仿宋_GB2312" w:cs="仿宋_GB2312" w:eastAsia="仿宋_GB2312"/>
              </w:rPr>
              <w:t>配电室维保成果交付要求需涵盖设备检查、维护操作，记录报告以及应急处理等多个方面，以确保配电室设施的安全稳定运行。</w:t>
            </w:r>
          </w:p>
          <w:p>
            <w:pPr>
              <w:pStyle w:val="null3"/>
            </w:pPr>
            <w:r>
              <w:rPr>
                <w:rFonts w:ascii="仿宋_GB2312" w:hAnsi="仿宋_GB2312" w:cs="仿宋_GB2312" w:eastAsia="仿宋_GB2312"/>
              </w:rPr>
              <w:t>设备检查与维护成果</w:t>
            </w:r>
          </w:p>
          <w:p>
            <w:pPr>
              <w:pStyle w:val="null3"/>
            </w:pPr>
            <w:r>
              <w:rPr>
                <w:rFonts w:ascii="仿宋_GB2312" w:hAnsi="仿宋_GB2312" w:cs="仿宋_GB2312" w:eastAsia="仿宋_GB2312"/>
              </w:rPr>
              <w:t>1、设备状态确认</w:t>
            </w:r>
            <w:r>
              <w:rPr>
                <w:rFonts w:ascii="仿宋_GB2312" w:hAnsi="仿宋_GB2312" w:cs="仿宋_GB2312" w:eastAsia="仿宋_GB2312"/>
              </w:rPr>
              <w:t>：</w:t>
            </w:r>
          </w:p>
          <w:p>
            <w:pPr>
              <w:pStyle w:val="null3"/>
            </w:pPr>
            <w:r>
              <w:rPr>
                <w:rFonts w:ascii="仿宋_GB2312" w:hAnsi="仿宋_GB2312" w:cs="仿宋_GB2312" w:eastAsia="仿宋_GB2312"/>
              </w:rPr>
              <w:t>所有配电设备应处于正常运行状态无异常声响、振动或过热现象，设备的各项运行参数</w:t>
            </w:r>
            <w:r>
              <w:rPr>
                <w:rFonts w:ascii="仿宋_GB2312" w:hAnsi="仿宋_GB2312" w:cs="仿宋_GB2312" w:eastAsia="仿宋_GB2312"/>
              </w:rPr>
              <w:t>(如温度、电流、电压等)应在正常范围内，符合设备制造商的要求和行业标准。</w:t>
            </w:r>
          </w:p>
          <w:p>
            <w:pPr>
              <w:pStyle w:val="null3"/>
            </w:pPr>
            <w:r>
              <w:rPr>
                <w:rFonts w:ascii="仿宋_GB2312" w:hAnsi="仿宋_GB2312" w:cs="仿宋_GB2312" w:eastAsia="仿宋_GB2312"/>
              </w:rPr>
              <w:t>2、接地电阻测试</w:t>
            </w:r>
            <w:r>
              <w:rPr>
                <w:rFonts w:ascii="仿宋_GB2312" w:hAnsi="仿宋_GB2312" w:cs="仿宋_GB2312" w:eastAsia="仿宋_GB2312"/>
              </w:rPr>
              <w:t>：</w:t>
            </w:r>
          </w:p>
          <w:p>
            <w:pPr>
              <w:pStyle w:val="null3"/>
            </w:pPr>
            <w:r>
              <w:rPr>
                <w:rFonts w:ascii="仿宋_GB2312" w:hAnsi="仿宋_GB2312" w:cs="仿宋_GB2312" w:eastAsia="仿宋_GB2312"/>
              </w:rPr>
              <w:t>接地电阻值应不大于规定值</w:t>
            </w:r>
            <w:r>
              <w:rPr>
                <w:rFonts w:ascii="仿宋_GB2312" w:hAnsi="仿宋_GB2312" w:cs="仿宋_GB2312" w:eastAsia="仿宋_GB2312"/>
              </w:rPr>
              <w:t>(如4</w:t>
            </w:r>
            <w:r>
              <w:rPr>
                <w:rFonts w:ascii="仿宋_GB2312" w:hAnsi="仿宋_GB2312" w:cs="仿宋_GB2312" w:eastAsia="仿宋_GB2312"/>
              </w:rPr>
              <w:t>Ω</w:t>
            </w:r>
            <w:r>
              <w:rPr>
                <w:rFonts w:ascii="仿宋_GB2312" w:hAnsi="仿宋_GB2312" w:cs="仿宋_GB2312" w:eastAsia="仿宋_GB2312"/>
              </w:rPr>
              <w:t>)，确保设备的安全接地</w:t>
            </w:r>
            <w:r>
              <w:rPr>
                <w:rFonts w:ascii="仿宋_GB2312" w:hAnsi="仿宋_GB2312" w:cs="仿宋_GB2312" w:eastAsia="仿宋_GB2312"/>
              </w:rPr>
              <w:t>；</w:t>
            </w:r>
          </w:p>
          <w:p>
            <w:pPr>
              <w:pStyle w:val="null3"/>
            </w:pPr>
            <w:r>
              <w:rPr>
                <w:rFonts w:ascii="仿宋_GB2312" w:hAnsi="仿宋_GB2312" w:cs="仿宋_GB2312" w:eastAsia="仿宋_GB2312"/>
              </w:rPr>
              <w:t>3、维保记录</w:t>
            </w:r>
            <w:r>
              <w:rPr>
                <w:rFonts w:ascii="仿宋_GB2312" w:hAnsi="仿宋_GB2312" w:cs="仿宋_GB2312" w:eastAsia="仿宋_GB2312"/>
              </w:rPr>
              <w:t>：</w:t>
            </w:r>
          </w:p>
          <w:p>
            <w:pPr>
              <w:pStyle w:val="null3"/>
            </w:pPr>
            <w:r>
              <w:rPr>
                <w:rFonts w:ascii="仿宋_GB2312" w:hAnsi="仿宋_GB2312" w:cs="仿宋_GB2312" w:eastAsia="仿宋_GB2312"/>
                <w:sz w:val="21"/>
              </w:rPr>
              <w:t>每次维保后，应详细记录设备的运行状态、发现的问题及处理结果。记录应完整、准确，方便后续跟踪和查询</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rPr>
              <w:t>采购需求中除</w:t>
            </w:r>
            <w:r>
              <w:rPr>
                <w:rFonts w:ascii="仿宋_GB2312" w:hAnsi="仿宋_GB2312" w:cs="仿宋_GB2312" w:eastAsia="仿宋_GB2312"/>
                <w:sz w:val="20"/>
              </w:rPr>
              <w:t>★项不得偏离外，其余参数根据偏离内容及情况进行评审，具体以磋商办法要求为准。</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b/>
              </w:rPr>
              <w:t>具体《维保清单》详见附件。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供应商根据采购需求配备相关设施设备。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自2026年6月1日起至2027年5月31日止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西安市体育训练中心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全面维保期间支付维保进度款</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项目实施阶段完成后5个工作日内</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1.成交供应商在采购结果发布后3个工作日内向代理机构提交纸质版响应文件以便于存档，响应文件正本1份，副本2份，电子版文件2份（以U盘为载体，电子版文件须提供签字盖章齐全的响应文件 PDF 扫描件，内容、格式及信息均须与系统上传文件保持完全一致）。纸质响应文件均须A4纸打印，分别各自装订成册并编制目录和页码。 2.成交供应商在领取成交通知书时提供纸质版投标文件两套，应通过专用制作软件直接打印，确保与电子投标文件保持一致，不允许修改和补充。提交地点：陕西省西安市高新区锦业一路56号研祥城市广场C座3楼C-306室。 3.如磋商文件中融资相关内容与新政策要求有出入，按照最新要求执行。 4.依据西安市财政局《关于印发〈西安市预算单位政府采购主体责任清单〉的通知》（市财函〔2026〕123 号）相关要求，采购人与中标（成交）供应商应在中标（成交）通知书发出之日起 25 日内签订政府采购合同。 5.采购人应按照磋商文件和成交供应商响应文件，在成交通知书发出之日起25日内与成交供应商签订采购合同，并进行备案和公示。 6.最终报价如出现异常低价，执行财库〔2026〕2号《关于推动解决政府采购异常低价问题的通知》，磋商小组可在最后报价审查表中审核是否通过审查。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供应商为合法注册的法人、其他组织或自然人，提供营业执照等证明文件；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投标人2024年度或2025年度经审计的财务报告或投标截止时间前三个月内其基本开户银行出具的资信证明及账户开户许可证明材料或财政部门认可的政府采购专业担保机构开具的投标担保函（任选其一）；</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提供响应文件递交截止日前一年内已缴存的至少一个月的纳税证明或完税证明。依法免税的供应商应提供相关文件证明；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提供磋商响应文件递交截止日前一年内已缴存的至少一个月的社会保障资金缴存单据或社保机构开具的社会保险参保缴费情况证明，依法不需要缴纳社会保障资金的单位应提供相关证明材料；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供应商信用</w:t>
            </w:r>
          </w:p>
        </w:tc>
        <w:tc>
          <w:tcPr>
            <w:tcW w:type="dxa" w:w="3322"/>
          </w:tcPr>
          <w:p>
            <w:pPr>
              <w:pStyle w:val="null3"/>
            </w:pPr>
            <w:r>
              <w:rPr>
                <w:rFonts w:ascii="仿宋_GB2312" w:hAnsi="仿宋_GB2312" w:cs="仿宋_GB2312" w:eastAsia="仿宋_GB2312"/>
              </w:rPr>
              <w:t>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关联关系承诺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法定代表人参加磋商的，须提供本人身份证复印件（附在响应文件中）；法定代表人授权他人参加磋商的，须提供法定代表人授权委托书。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须具备承装（修、试）电力设施许可证三级或以上资质。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 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总价不超过采购最高限价</w:t>
            </w:r>
          </w:p>
        </w:tc>
        <w:tc>
          <w:tcPr>
            <w:tcW w:type="dxa" w:w="1661"/>
          </w:tcPr>
          <w:p>
            <w:pPr>
              <w:pStyle w:val="null3"/>
            </w:pPr>
            <w:r>
              <w:rPr>
                <w:rFonts w:ascii="仿宋_GB2312" w:hAnsi="仿宋_GB2312" w:cs="仿宋_GB2312" w:eastAsia="仿宋_GB2312"/>
              </w:rPr>
              <w:t>标的清单 报价表 商务应答表.docx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商务应答表.docx 服务内容及服务邀请应答表.docx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商务应答表.docx 服务内容及服务邀请应答表.docx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其他无效磋商的情形</w:t>
            </w:r>
          </w:p>
        </w:tc>
        <w:tc>
          <w:tcPr>
            <w:tcW w:type="dxa" w:w="3322"/>
          </w:tcPr>
          <w:p>
            <w:pPr>
              <w:pStyle w:val="null3"/>
            </w:pPr>
            <w:r>
              <w:rPr>
                <w:rFonts w:ascii="仿宋_GB2312" w:hAnsi="仿宋_GB2312" w:cs="仿宋_GB2312" w:eastAsia="仿宋_GB2312"/>
              </w:rPr>
              <w:t>没有出现法律法规或磋商文件明确规定的其他被视为“无效磋商”的情形及未实质性响应磋商文件的情况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响应文件封面 供应商应提交的相关资格证明材料.docx 非联合体声明.docx 中小企业声明函 残疾人福利性单位声明函 服务方案 标的清单 报价表 商务应答表.docx 服务内容及服务邀请应答表.docx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针对服务内容制定科学合理的服务方案，包含但不限于：①每月不少于1次的巡检方案②设备清洁与防腐方案③维护保养方案④定期设备性能测试方案⑤建立标准化配电室相关的制度及操作流程⑥设备检查方案⑦安全保证措施。 1、每一项服务方案、措施针对性强、切实可行，服务计划方案详细合理，完全满足项目需求，得4分； 2、每一项服务方案、措施有一定针对性、较为科学合理，服务计划方案合理，基本满足项目需求，得3分； 3、每一项服务方案、措施针对性一般、有一定可操作性，服务计划方案完整，能满足项目需求，得2分； 4、每一项服务方案、措施针对性较差，服务计划方案保障性较差、内容有缺失，不能满足基本项目需求，得1分； 5、未提供，得0分。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项目经理实力及业绩</w:t>
            </w:r>
          </w:p>
        </w:tc>
        <w:tc>
          <w:tcPr>
            <w:tcW w:type="dxa" w:w="2492"/>
          </w:tcPr>
          <w:p>
            <w:pPr>
              <w:pStyle w:val="null3"/>
            </w:pPr>
            <w:r>
              <w:rPr>
                <w:rFonts w:ascii="仿宋_GB2312" w:hAnsi="仿宋_GB2312" w:cs="仿宋_GB2312" w:eastAsia="仿宋_GB2312"/>
              </w:rPr>
              <w:t>1、项目经理具备机电工程专业二级以上（含二级）注册建造师证书，具有有效的安全生产考核合格证书（建安B证），得2分，其它不得分； 注：①以供应商加盖公章的合法有效的证书复印件或扫描件为准；②一级注册建造师电子证书使用须符合《住房和城乡建设部办公厅关于全面实行一级建造师电子注册证书的通知》的要求。 2、项目经理具有机电工程或电力工程相关专业中级及以上职称，得2分，其它不得分。注：以供应商加盖公章的职称证复印件为准。 3、2022年1月1日起至今具有类似项目业绩，每提供1份得3分，最多得6分。 注：①以中标/成交通知书或合同协议书复印件加盖公章为准。②时间以中标/成交通知书或合同协议书签订时间为准。③建造师以中标/成交通知书或施工合同协议约定的建造师姓名为准。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根据供应商拟投入维保服务人员专业配备方案、项目管理组织架构情况进行评审，需提供详细职员姓名、职务、资格证或专业证书，主要资历、经验情况等。 1、供应商针对本项目的提供详细的人员配备方案，团队组织结构合理，职责分明，且具有丰富维保经验，提供详细的证明资料，得10分； 2、供应商针对本项目提供完整的人员配备方案，团队组织结构合理，职责分明，且具有相关维保经验，提供部分证明资料，得7分； 3、供应商提供人员配备方案，团队组织结构合理，人员基本满足项目需求，主要工作人员具有维保经验，提供的证明材料单一，得4分； 4、供应商提供人员配备方案简单，团队人员无维保经验证明，得2分； 5、未提供，得0分。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投入维保仪器设备、安全设备</w:t>
            </w:r>
          </w:p>
        </w:tc>
        <w:tc>
          <w:tcPr>
            <w:tcW w:type="dxa" w:w="2492"/>
          </w:tcPr>
          <w:p>
            <w:pPr>
              <w:pStyle w:val="null3"/>
            </w:pPr>
            <w:r>
              <w:rPr>
                <w:rFonts w:ascii="仿宋_GB2312" w:hAnsi="仿宋_GB2312" w:cs="仿宋_GB2312" w:eastAsia="仿宋_GB2312"/>
              </w:rPr>
              <w:t>1、根据供应商所配备的电气设备情况进行评审，应提供维保需要使用专业的仪器，仪器能够覆盖被测项目的各个电压等级，如0.4kV、10kV等，确保对配电室内的设备进行全面的检测和维保。 ①设备配置配备合理、有丰富的专业维保工具，能够保证项目顺利实施，提供设备购入发票或租赁合同等相关证明材料，得6分； ②设备配备基本合理、有专业维保工具，能够保证项目顺利实施，提供部分设备购入发票或租赁合同等相关证明材料，得4分； ③设备配备基本能够保证项目实施，有部分设备购入发票或租赁合同等相关证明材料，得2分； ④未提供，得0分。 2、供应商在维保过程中，提供各种安全设备，如个人防护装备、设备隔离装置、警示标示、告示通知等。需提供安全设备一览表，相关设备购入发票或图片等相关证明材料。 ①安全设备配备齐全合理，得2分； ②未提供，得0分。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1、根据供应商针对本项目发生故障或事故时，提供切实可行的应急保障措施及人员保障方案进行评审。 ①针对各类突发事件制定切实可行的应急预案措施和应急演练方案，方案细致完整、可行、描述条理清晰，内容齐全，有较高的针对性，得6分； ②应急预案措施方案较完整，可基本满足项目要求，得3分； ③应急预案措施方案有明显缺陷，响应时间较长，针对性较差，得1分； ④未提供，得0分。 2、对于业主的服务通知，维保单位可提供24小时抢修响应服务，得2分，需提供承诺函，未提供，得0分。 3、在配电系统发生故障或线路跳闸时，可在接到报修后迅速响应，并在2小时内派员到达现场进行故障处理和维修，得2分，需提供承诺函及相应佐证资料，未提供，得0分。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维护报告及保养记录</w:t>
            </w:r>
          </w:p>
        </w:tc>
        <w:tc>
          <w:tcPr>
            <w:tcW w:type="dxa" w:w="2492"/>
          </w:tcPr>
          <w:p>
            <w:pPr>
              <w:pStyle w:val="null3"/>
            </w:pPr>
            <w:r>
              <w:rPr>
                <w:rFonts w:ascii="仿宋_GB2312" w:hAnsi="仿宋_GB2312" w:cs="仿宋_GB2312" w:eastAsia="仿宋_GB2312"/>
              </w:rPr>
              <w:t>供应商需根据服务内容提供完善的维护保养记录，每次维保工作都应详细记录，包括维保的时间、人员、内容、发现的问题及处理结果等、每月的巡检维保报告及定期提供电气设备运行情况报告。 1、服务报告全面、详细、服务报告形式多样，科学合理、规范，可操作性强，可提供相关案例报告、记录，得9分； 2、服务报告较全面、服务报告形式多样，科学合理、规范，有相关案例报告、记录，得6分； 3、服务报告合理、服务报告形式单一，但报告、记录内容齐全，有相关案例报告、记录，得3分； 4、服务报告简单，报告、记录内容不够齐全，无相关案例报告，得1分； 5、服务报告、记录不合理或未提供，得0分。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供应商自2023年4月1日起至今，具有类似项目业绩，每提供1份得5分，最多得15分。 注：①以中标/成交通知书或合同协议书复印件加盖公章为准。②时间以中标/成交通知书或合同协议书签订时间为准。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价格最低的报价为评审基准价，其价格分为满分。其他供应商的价格分统一按照下列公式计算：磋商报价得分=(评审基准价/最终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详见附件：0423合同附件.docx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