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EBDB1">
      <w:pPr>
        <w:jc w:val="center"/>
        <w:rPr>
          <w:rFonts w:hint="eastAsia" w:ascii="宋体" w:hAnsi="宋体" w:eastAsia="宋体"/>
          <w:color w:val="auto"/>
          <w:sz w:val="24"/>
          <w:szCs w:val="24"/>
          <w:highlight w:val="none"/>
          <w:lang w:eastAsia="zh-CN"/>
        </w:rPr>
      </w:pPr>
      <w:r>
        <w:rPr>
          <w:rFonts w:hint="eastAsia" w:ascii="宋体" w:hAnsi="宋体"/>
          <w:b/>
          <w:bCs/>
          <w:color w:val="auto"/>
          <w:sz w:val="32"/>
          <w:szCs w:val="32"/>
          <w:highlight w:val="none"/>
          <w:lang w:eastAsia="zh-CN"/>
        </w:rPr>
        <w:t>合同通用条款</w:t>
      </w:r>
    </w:p>
    <w:p w14:paraId="07B71A3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1.定义</w:t>
      </w:r>
    </w:p>
    <w:p w14:paraId="6664B017">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本合同下列术语应解释为</w:t>
      </w:r>
      <w:r>
        <w:rPr>
          <w:rFonts w:hint="eastAsia" w:ascii="宋体" w:hAnsi="宋体" w:eastAsia="宋体" w:cs="宋体"/>
          <w:color w:val="auto"/>
          <w:sz w:val="24"/>
          <w:szCs w:val="24"/>
          <w:highlight w:val="none"/>
          <w:lang w:eastAsia="zh-CN"/>
        </w:rPr>
        <w:t>：</w:t>
      </w:r>
    </w:p>
    <w:p w14:paraId="2E48FF5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1.1“合同”系指买卖双方签署的、合同格式中载明的买卖双方所达成的协议,包括所有的附件、附录和上述文件所提到的构成合同的所有文件。</w:t>
      </w:r>
    </w:p>
    <w:p w14:paraId="1377C2E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1.2“合同价”系指根据本合同规定，卖方在正确地完全履行合同义务后买方应支付给卖方的价格。</w:t>
      </w:r>
    </w:p>
    <w:p w14:paraId="23A5609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1.3“服务”系指根据合同规定，卖方提供的服务。</w:t>
      </w:r>
    </w:p>
    <w:p w14:paraId="4C882D9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1.4“合同条款”系指本合同条款。</w:t>
      </w:r>
    </w:p>
    <w:p w14:paraId="050F6FB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1.5“买方”系指在合同专用条款中指明的购买货物和服务的单位。</w:t>
      </w:r>
    </w:p>
    <w:p w14:paraId="30F68A6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1.6“卖方”系指签署本合同，提供本合同项下货物和服务的单位。</w:t>
      </w:r>
    </w:p>
    <w:p w14:paraId="70D6E73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1.7“服务地点”系指本合同(包括附件)指明的提供服务的地点。</w:t>
      </w:r>
    </w:p>
    <w:p w14:paraId="6DE1702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1.8“天”指日历天数。</w:t>
      </w:r>
    </w:p>
    <w:p w14:paraId="3E0D763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2.服务要求</w:t>
      </w:r>
    </w:p>
    <w:p w14:paraId="37DF15D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2.1卖方提供服务应与本合同所指明的服务(包括合同附件)相一致。</w:t>
      </w:r>
      <w:bookmarkStart w:id="6" w:name="_GoBack"/>
      <w:bookmarkEnd w:id="6"/>
    </w:p>
    <w:p w14:paraId="4D97FF3A">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2.2见合同专用条款。</w:t>
      </w:r>
    </w:p>
    <w:p w14:paraId="1694FC7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3.专利权</w:t>
      </w:r>
    </w:p>
    <w:p w14:paraId="6C09AA0A">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3.1卖方应保证买方在使用该服务或其任何一部分时免受第三方提出侵犯其专利权·商标权、工业设计权或其他知识产权的起诉。</w:t>
      </w:r>
    </w:p>
    <w:p w14:paraId="026BBB4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4.服务地点和服务期限</w:t>
      </w:r>
    </w:p>
    <w:p w14:paraId="36C6449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4.1见合同专用条款。</w:t>
      </w:r>
    </w:p>
    <w:p w14:paraId="3E36E73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5.保险</w:t>
      </w:r>
    </w:p>
    <w:p w14:paraId="45EEF3A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5.1卖方应为所提供服务的人员等购买保险。</w:t>
      </w:r>
    </w:p>
    <w:p w14:paraId="6F62226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6.付款</w:t>
      </w:r>
    </w:p>
    <w:p w14:paraId="65EAA7D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6.1本合同以人民币付款。</w:t>
      </w:r>
    </w:p>
    <w:p w14:paraId="748F4EC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6.2卖方应按照双方签订的合同规定提供服务,服务成果由买方验收合格并出具验收书后，连同合同一并送政府采购管理部门办理结算。</w:t>
      </w:r>
    </w:p>
    <w:p w14:paraId="4BE3F89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6.3见合同专用条款。</w:t>
      </w:r>
    </w:p>
    <w:p w14:paraId="3BBD536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7.质量保证及索赔</w:t>
      </w:r>
    </w:p>
    <w:p w14:paraId="2DD4476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7.1卖方应保证所供服务完全符合合同规定的要求。</w:t>
      </w:r>
    </w:p>
    <w:p w14:paraId="25ED8C1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7.2在服务期限内，如果服务与合同有任何一项不符，买方应尽快以书面形式向卖方提出索赔。同时应向政府采购管理部门报告。</w:t>
      </w:r>
    </w:p>
    <w:p w14:paraId="46D307F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7.3卖方在收到买方的通知后，应及时纠正。具体响应时限见专用合同条款。</w:t>
      </w:r>
    </w:p>
    <w:p w14:paraId="5339A29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如果卖方在收到通知后，没有在上述专用合同条款中规定的时限内及时纠正和弥补，买方可采取必要的补救措施，但其风险和费用将由卖方承担，买方根据合同规定对卖方行使的其它权力不受影响。买方亦可从合同款和卖方履约保证金中扣回索赔金额。</w:t>
      </w:r>
    </w:p>
    <w:p w14:paraId="35C7FBF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8.检验和验收</w:t>
      </w:r>
    </w:p>
    <w:p w14:paraId="542053A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8.1在完成每项服务内容前，供应商应对服务的内容、实施的效果等进行准确而全面的检验，并出具相关证明文件。</w:t>
      </w:r>
    </w:p>
    <w:p w14:paraId="35C76B6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8.2服务成果，由采购单位根据合同规定的标准要求进行验收，并出具验收书。验收书应当包括履约情况。</w:t>
      </w:r>
    </w:p>
    <w:p w14:paraId="6E00DFF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8.3履约验收方案以合同约定为准。</w:t>
      </w:r>
    </w:p>
    <w:p w14:paraId="7F220AB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9.违约责任</w:t>
      </w:r>
    </w:p>
    <w:p w14:paraId="10BDF5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9.1合同一方不履行合同义务、履行合同义务不符合约定或者违反合同项下所作保证的，应向对方承担继续履行、采取修理、更换、退货等补救措施或者赔偿损失等违约责任。</w:t>
      </w:r>
    </w:p>
    <w:p w14:paraId="222B2E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9.2如卖方事先未征得买方同意并得到买方的谅解而单方面延迟提供服务的情况，将按违约终止合同。</w:t>
      </w:r>
    </w:p>
    <w:p w14:paraId="10E143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9.3在履行合同过程中，如果卖方遇到可能妨碍按时提供服务的情况，应及时以书面形式将拖延的事实,可能拖延的期限和理由通知买方。买方在收到卖方通知后，应尽快对情况进行评价，并确定是否通过修改合同，酌情延长服务期限或对卖方加收误期赔偿金。误期赔偿金以每周0.5%计。</w:t>
      </w:r>
    </w:p>
    <w:p w14:paraId="6E8A8185">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1"/>
          <w:rFonts w:hint="eastAsia" w:ascii="宋体" w:hAnsi="宋体" w:eastAsia="宋体" w:cs="宋体"/>
          <w:color w:val="auto"/>
          <w:sz w:val="24"/>
          <w:szCs w:val="24"/>
          <w:highlight w:val="none"/>
        </w:rPr>
      </w:pPr>
      <w:r>
        <w:rPr>
          <w:rStyle w:val="11"/>
          <w:rFonts w:hint="eastAsia" w:ascii="宋体" w:hAnsi="宋体" w:eastAsia="宋体" w:cs="宋体"/>
          <w:color w:val="auto"/>
          <w:sz w:val="24"/>
          <w:szCs w:val="24"/>
          <w:highlight w:val="none"/>
        </w:rPr>
        <w:t>9.4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1D044863">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1"/>
          <w:rFonts w:hint="eastAsia" w:ascii="宋体" w:hAnsi="宋体" w:eastAsia="宋体" w:cs="宋体"/>
          <w:color w:val="auto"/>
          <w:sz w:val="24"/>
          <w:szCs w:val="24"/>
          <w:highlight w:val="none"/>
        </w:rPr>
      </w:pPr>
      <w:r>
        <w:rPr>
          <w:rStyle w:val="11"/>
          <w:rFonts w:hint="eastAsia" w:ascii="宋体" w:hAnsi="宋体" w:eastAsia="宋体" w:cs="宋体"/>
          <w:color w:val="auto"/>
          <w:sz w:val="24"/>
          <w:szCs w:val="24"/>
          <w:highlight w:val="none"/>
        </w:rPr>
        <w:t>9.5受影响一方应在不可抗力事件发生后尽快用书面形式通知对方，并于不可抗力事件发生后十四（14）天内将有关当局出具的证明文件用特快专递或挂号信寄给对方审阅确认。</w:t>
      </w:r>
    </w:p>
    <w:p w14:paraId="5A321668">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1"/>
          <w:rFonts w:hint="eastAsia" w:ascii="宋体" w:hAnsi="宋体" w:eastAsia="宋体" w:cs="宋体"/>
          <w:color w:val="auto"/>
          <w:sz w:val="24"/>
          <w:szCs w:val="24"/>
          <w:highlight w:val="none"/>
        </w:rPr>
      </w:pPr>
      <w:r>
        <w:rPr>
          <w:rStyle w:val="11"/>
          <w:rFonts w:hint="eastAsia" w:ascii="宋体" w:hAnsi="宋体" w:eastAsia="宋体" w:cs="宋体"/>
          <w:color w:val="auto"/>
          <w:sz w:val="24"/>
          <w:szCs w:val="24"/>
          <w:highlight w:val="none"/>
        </w:rPr>
        <w:t>9.6因合同一方迟延履行合同后发生不可抗力的，不能免除迟延履行方的相应责任。</w:t>
      </w:r>
    </w:p>
    <w:p w14:paraId="1B65D9C8">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1"/>
          <w:rFonts w:hint="eastAsia" w:ascii="宋体" w:hAnsi="宋体" w:eastAsia="宋体" w:cs="宋体"/>
          <w:color w:val="auto"/>
          <w:sz w:val="24"/>
          <w:szCs w:val="24"/>
          <w:highlight w:val="none"/>
          <w:lang w:val="en-US" w:eastAsia="zh-CN"/>
        </w:rPr>
      </w:pPr>
      <w:r>
        <w:rPr>
          <w:rStyle w:val="11"/>
          <w:rFonts w:hint="eastAsia" w:ascii="宋体" w:hAnsi="宋体" w:eastAsia="宋体" w:cs="宋体"/>
          <w:color w:val="auto"/>
          <w:sz w:val="24"/>
          <w:szCs w:val="24"/>
          <w:highlight w:val="none"/>
          <w:lang w:val="en-US" w:eastAsia="zh-CN"/>
        </w:rPr>
        <w:t>9.7其他责任：</w:t>
      </w:r>
    </w:p>
    <w:p w14:paraId="512F36A4">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1"/>
          <w:rFonts w:hint="default" w:ascii="宋体" w:hAnsi="宋体" w:eastAsia="宋体" w:cs="宋体"/>
          <w:color w:val="auto"/>
          <w:sz w:val="24"/>
          <w:szCs w:val="24"/>
          <w:highlight w:val="none"/>
          <w:lang w:val="en-US" w:eastAsia="zh-CN"/>
        </w:rPr>
      </w:pPr>
      <w:r>
        <w:rPr>
          <w:rStyle w:val="11"/>
          <w:rFonts w:hint="eastAsia" w:ascii="宋体" w:hAnsi="宋体" w:eastAsia="宋体" w:cs="宋体"/>
          <w:color w:val="auto"/>
          <w:sz w:val="24"/>
          <w:szCs w:val="24"/>
          <w:highlight w:val="none"/>
          <w:lang w:val="en-US" w:eastAsia="zh-CN"/>
        </w:rPr>
        <w:t>（1）卖方</w:t>
      </w:r>
      <w:r>
        <w:rPr>
          <w:rStyle w:val="11"/>
          <w:rFonts w:hint="default" w:ascii="宋体" w:hAnsi="宋体" w:eastAsia="宋体" w:cs="宋体"/>
          <w:color w:val="auto"/>
          <w:sz w:val="24"/>
          <w:szCs w:val="24"/>
          <w:highlight w:val="none"/>
          <w:lang w:val="en-US" w:eastAsia="zh-CN"/>
        </w:rPr>
        <w:t>所提供的服务如不符合招投标文件要求，应及时更换，更换不及时的按逾期交货处罚</w:t>
      </w:r>
      <w:r>
        <w:rPr>
          <w:rStyle w:val="11"/>
          <w:rFonts w:hint="eastAsia" w:ascii="宋体" w:hAnsi="宋体" w:eastAsia="宋体" w:cs="宋体"/>
          <w:color w:val="auto"/>
          <w:sz w:val="24"/>
          <w:szCs w:val="24"/>
          <w:highlight w:val="none"/>
          <w:lang w:val="en-US" w:eastAsia="zh-CN"/>
        </w:rPr>
        <w:t>；</w:t>
      </w:r>
      <w:r>
        <w:rPr>
          <w:rStyle w:val="11"/>
          <w:rFonts w:hint="default" w:ascii="宋体" w:hAnsi="宋体" w:eastAsia="宋体" w:cs="宋体"/>
          <w:color w:val="auto"/>
          <w:sz w:val="24"/>
          <w:szCs w:val="24"/>
          <w:highlight w:val="none"/>
          <w:lang w:val="en-US" w:eastAsia="zh-CN"/>
        </w:rPr>
        <w:t>因质量问题</w:t>
      </w:r>
      <w:r>
        <w:rPr>
          <w:rStyle w:val="11"/>
          <w:rFonts w:hint="eastAsia" w:ascii="宋体" w:hAnsi="宋体" w:eastAsia="宋体" w:cs="宋体"/>
          <w:color w:val="auto"/>
          <w:sz w:val="24"/>
          <w:szCs w:val="24"/>
          <w:highlight w:val="none"/>
          <w:lang w:val="en-US" w:eastAsia="zh-CN"/>
        </w:rPr>
        <w:t>买方</w:t>
      </w:r>
      <w:r>
        <w:rPr>
          <w:rStyle w:val="11"/>
          <w:rFonts w:hint="default" w:ascii="宋体" w:hAnsi="宋体" w:eastAsia="宋体" w:cs="宋体"/>
          <w:color w:val="auto"/>
          <w:sz w:val="24"/>
          <w:szCs w:val="24"/>
          <w:highlight w:val="none"/>
          <w:lang w:val="en-US" w:eastAsia="zh-CN"/>
        </w:rPr>
        <w:t>不同意接收的或特殊情况</w:t>
      </w:r>
      <w:r>
        <w:rPr>
          <w:rStyle w:val="11"/>
          <w:rFonts w:hint="eastAsia" w:ascii="宋体" w:hAnsi="宋体" w:eastAsia="宋体" w:cs="宋体"/>
          <w:color w:val="auto"/>
          <w:sz w:val="24"/>
          <w:szCs w:val="24"/>
          <w:highlight w:val="none"/>
          <w:lang w:val="en-US" w:eastAsia="zh-CN"/>
        </w:rPr>
        <w:t>买方</w:t>
      </w:r>
      <w:r>
        <w:rPr>
          <w:rStyle w:val="11"/>
          <w:rFonts w:hint="default" w:ascii="宋体" w:hAnsi="宋体" w:eastAsia="宋体" w:cs="宋体"/>
          <w:color w:val="auto"/>
          <w:sz w:val="24"/>
          <w:szCs w:val="24"/>
          <w:highlight w:val="none"/>
          <w:lang w:val="en-US" w:eastAsia="zh-CN"/>
        </w:rPr>
        <w:t>同意接收的，</w:t>
      </w:r>
      <w:r>
        <w:rPr>
          <w:rStyle w:val="11"/>
          <w:rFonts w:hint="eastAsia" w:ascii="宋体" w:hAnsi="宋体" w:eastAsia="宋体" w:cs="宋体"/>
          <w:color w:val="auto"/>
          <w:sz w:val="24"/>
          <w:szCs w:val="24"/>
          <w:highlight w:val="none"/>
          <w:lang w:val="en-US" w:eastAsia="zh-CN"/>
        </w:rPr>
        <w:t>卖方</w:t>
      </w:r>
      <w:r>
        <w:rPr>
          <w:rStyle w:val="11"/>
          <w:rFonts w:hint="default" w:ascii="宋体" w:hAnsi="宋体" w:eastAsia="宋体" w:cs="宋体"/>
          <w:color w:val="auto"/>
          <w:sz w:val="24"/>
          <w:szCs w:val="24"/>
          <w:highlight w:val="none"/>
          <w:lang w:val="en-US" w:eastAsia="zh-CN"/>
        </w:rPr>
        <w:t>应向</w:t>
      </w:r>
      <w:r>
        <w:rPr>
          <w:rStyle w:val="11"/>
          <w:rFonts w:hint="eastAsia" w:ascii="宋体" w:hAnsi="宋体" w:eastAsia="宋体" w:cs="宋体"/>
          <w:color w:val="auto"/>
          <w:sz w:val="24"/>
          <w:szCs w:val="24"/>
          <w:highlight w:val="none"/>
          <w:lang w:val="en-US" w:eastAsia="zh-CN"/>
        </w:rPr>
        <w:t>买方</w:t>
      </w:r>
      <w:r>
        <w:rPr>
          <w:rStyle w:val="11"/>
          <w:rFonts w:hint="default" w:ascii="宋体" w:hAnsi="宋体" w:eastAsia="宋体" w:cs="宋体"/>
          <w:color w:val="auto"/>
          <w:sz w:val="24"/>
          <w:szCs w:val="24"/>
          <w:highlight w:val="none"/>
          <w:lang w:val="en-US" w:eastAsia="zh-CN"/>
        </w:rPr>
        <w:t>支付违约货款额5%违约金并赔偿</w:t>
      </w:r>
      <w:r>
        <w:rPr>
          <w:rStyle w:val="11"/>
          <w:rFonts w:hint="eastAsia" w:ascii="宋体" w:hAnsi="宋体" w:eastAsia="宋体" w:cs="宋体"/>
          <w:color w:val="auto"/>
          <w:sz w:val="24"/>
          <w:szCs w:val="24"/>
          <w:highlight w:val="none"/>
          <w:lang w:val="en-US" w:eastAsia="zh-CN"/>
        </w:rPr>
        <w:t>买方</w:t>
      </w:r>
      <w:r>
        <w:rPr>
          <w:rStyle w:val="11"/>
          <w:rFonts w:hint="default" w:ascii="宋体" w:hAnsi="宋体" w:eastAsia="宋体" w:cs="宋体"/>
          <w:color w:val="auto"/>
          <w:sz w:val="24"/>
          <w:szCs w:val="24"/>
          <w:highlight w:val="none"/>
          <w:lang w:val="en-US" w:eastAsia="zh-CN"/>
        </w:rPr>
        <w:t>经济损失。</w:t>
      </w:r>
    </w:p>
    <w:p w14:paraId="7E8F6FDD">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1"/>
          <w:rFonts w:hint="default" w:ascii="宋体" w:hAnsi="宋体" w:eastAsia="宋体" w:cs="宋体"/>
          <w:color w:val="auto"/>
          <w:sz w:val="24"/>
          <w:szCs w:val="24"/>
          <w:highlight w:val="none"/>
          <w:lang w:val="en-US" w:eastAsia="zh-CN"/>
        </w:rPr>
      </w:pPr>
      <w:r>
        <w:rPr>
          <w:rStyle w:val="11"/>
          <w:rFonts w:hint="eastAsia" w:ascii="宋体" w:hAnsi="宋体" w:eastAsia="宋体" w:cs="宋体"/>
          <w:color w:val="auto"/>
          <w:sz w:val="24"/>
          <w:szCs w:val="24"/>
          <w:highlight w:val="none"/>
          <w:lang w:val="en-US" w:eastAsia="zh-CN"/>
        </w:rPr>
        <w:t>（2）卖方</w:t>
      </w:r>
      <w:r>
        <w:rPr>
          <w:rStyle w:val="11"/>
          <w:rFonts w:hint="default" w:ascii="宋体" w:hAnsi="宋体" w:eastAsia="宋体" w:cs="宋体"/>
          <w:color w:val="auto"/>
          <w:sz w:val="24"/>
          <w:szCs w:val="24"/>
          <w:highlight w:val="none"/>
          <w:lang w:val="en-US" w:eastAsia="zh-CN"/>
        </w:rPr>
        <w:t>提供的货物如侵犯第三方合法权益而引发的任何纠纷或诉讼，均由</w:t>
      </w:r>
      <w:r>
        <w:rPr>
          <w:rStyle w:val="11"/>
          <w:rFonts w:hint="eastAsia" w:ascii="宋体" w:hAnsi="宋体" w:eastAsia="宋体" w:cs="宋体"/>
          <w:color w:val="auto"/>
          <w:sz w:val="24"/>
          <w:szCs w:val="24"/>
          <w:highlight w:val="none"/>
          <w:lang w:val="en-US" w:eastAsia="zh-CN"/>
        </w:rPr>
        <w:t>卖方</w:t>
      </w:r>
      <w:r>
        <w:rPr>
          <w:rStyle w:val="11"/>
          <w:rFonts w:hint="default" w:ascii="宋体" w:hAnsi="宋体" w:eastAsia="宋体" w:cs="宋体"/>
          <w:color w:val="auto"/>
          <w:sz w:val="24"/>
          <w:szCs w:val="24"/>
          <w:highlight w:val="none"/>
          <w:lang w:val="en-US" w:eastAsia="zh-CN"/>
        </w:rPr>
        <w:t>负责交涉并承担全部责任。</w:t>
      </w:r>
    </w:p>
    <w:p w14:paraId="57BE6AB7">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1"/>
          <w:rFonts w:hint="default" w:ascii="宋体" w:hAnsi="宋体" w:eastAsia="宋体" w:cs="宋体"/>
          <w:color w:val="auto"/>
          <w:sz w:val="24"/>
          <w:szCs w:val="24"/>
          <w:highlight w:val="none"/>
          <w:lang w:val="en-US" w:eastAsia="zh-CN"/>
        </w:rPr>
      </w:pPr>
      <w:r>
        <w:rPr>
          <w:rStyle w:val="11"/>
          <w:rFonts w:hint="eastAsia" w:ascii="宋体" w:hAnsi="宋体" w:eastAsia="宋体" w:cs="宋体"/>
          <w:color w:val="auto"/>
          <w:sz w:val="24"/>
          <w:szCs w:val="24"/>
          <w:highlight w:val="none"/>
          <w:lang w:val="en-US" w:eastAsia="zh-CN"/>
        </w:rPr>
        <w:t>（3）卖方</w:t>
      </w:r>
      <w:r>
        <w:rPr>
          <w:rStyle w:val="11"/>
          <w:rFonts w:hint="default" w:ascii="宋体" w:hAnsi="宋体" w:eastAsia="宋体" w:cs="宋体"/>
          <w:color w:val="auto"/>
          <w:sz w:val="24"/>
          <w:szCs w:val="24"/>
          <w:highlight w:val="none"/>
          <w:lang w:val="en-US" w:eastAsia="zh-CN"/>
        </w:rPr>
        <w:t>未按本合同和投标文件中规定的服务承诺提供售后服务的，</w:t>
      </w:r>
      <w:r>
        <w:rPr>
          <w:rStyle w:val="11"/>
          <w:rFonts w:hint="eastAsia" w:ascii="宋体" w:hAnsi="宋体" w:eastAsia="宋体" w:cs="宋体"/>
          <w:color w:val="auto"/>
          <w:sz w:val="24"/>
          <w:szCs w:val="24"/>
          <w:highlight w:val="none"/>
          <w:lang w:val="en-US" w:eastAsia="zh-CN"/>
        </w:rPr>
        <w:t>卖方</w:t>
      </w:r>
      <w:r>
        <w:rPr>
          <w:rStyle w:val="11"/>
          <w:rFonts w:hint="default" w:ascii="宋体" w:hAnsi="宋体" w:eastAsia="宋体" w:cs="宋体"/>
          <w:color w:val="auto"/>
          <w:sz w:val="24"/>
          <w:szCs w:val="24"/>
          <w:highlight w:val="none"/>
          <w:lang w:val="en-US" w:eastAsia="zh-CN"/>
        </w:rPr>
        <w:t>应按本合同合计金额5%向</w:t>
      </w:r>
      <w:r>
        <w:rPr>
          <w:rStyle w:val="11"/>
          <w:rFonts w:hint="eastAsia" w:ascii="宋体" w:hAnsi="宋体" w:eastAsia="宋体" w:cs="宋体"/>
          <w:color w:val="auto"/>
          <w:sz w:val="24"/>
          <w:szCs w:val="24"/>
          <w:highlight w:val="none"/>
          <w:lang w:val="en-US" w:eastAsia="zh-CN"/>
        </w:rPr>
        <w:t>买方</w:t>
      </w:r>
      <w:r>
        <w:rPr>
          <w:rStyle w:val="11"/>
          <w:rFonts w:hint="default" w:ascii="宋体" w:hAnsi="宋体" w:eastAsia="宋体" w:cs="宋体"/>
          <w:color w:val="auto"/>
          <w:sz w:val="24"/>
          <w:szCs w:val="24"/>
          <w:highlight w:val="none"/>
          <w:lang w:val="en-US" w:eastAsia="zh-CN"/>
        </w:rPr>
        <w:t>支付违约金。</w:t>
      </w:r>
    </w:p>
    <w:p w14:paraId="12BE917B">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1"/>
          <w:rFonts w:hint="default" w:ascii="宋体" w:hAnsi="宋体" w:eastAsia="宋体" w:cs="宋体"/>
          <w:color w:val="auto"/>
          <w:sz w:val="24"/>
          <w:szCs w:val="24"/>
          <w:highlight w:val="none"/>
          <w:lang w:val="en-US" w:eastAsia="zh-CN"/>
        </w:rPr>
      </w:pPr>
      <w:r>
        <w:rPr>
          <w:rStyle w:val="11"/>
          <w:rFonts w:hint="eastAsia" w:ascii="宋体" w:hAnsi="宋体" w:eastAsia="宋体" w:cs="宋体"/>
          <w:color w:val="auto"/>
          <w:sz w:val="24"/>
          <w:szCs w:val="24"/>
          <w:highlight w:val="none"/>
          <w:lang w:val="en-US" w:eastAsia="zh-CN"/>
        </w:rPr>
        <w:t>（4）卖方</w:t>
      </w:r>
      <w:r>
        <w:rPr>
          <w:rStyle w:val="11"/>
          <w:rFonts w:hint="default" w:ascii="宋体" w:hAnsi="宋体" w:eastAsia="宋体" w:cs="宋体"/>
          <w:color w:val="auto"/>
          <w:sz w:val="24"/>
          <w:szCs w:val="24"/>
          <w:highlight w:val="none"/>
          <w:lang w:val="en-US" w:eastAsia="zh-CN"/>
        </w:rPr>
        <w:t>提供的服务在质量保证期内，因设计、录制的缺陷和其他其他质量原因造成的问题，由</w:t>
      </w:r>
      <w:r>
        <w:rPr>
          <w:rStyle w:val="11"/>
          <w:rFonts w:hint="eastAsia" w:ascii="宋体" w:hAnsi="宋体" w:eastAsia="宋体" w:cs="宋体"/>
          <w:color w:val="auto"/>
          <w:sz w:val="24"/>
          <w:szCs w:val="24"/>
          <w:highlight w:val="none"/>
          <w:lang w:val="en-US" w:eastAsia="zh-CN"/>
        </w:rPr>
        <w:t>卖方</w:t>
      </w:r>
      <w:r>
        <w:rPr>
          <w:rStyle w:val="11"/>
          <w:rFonts w:hint="default" w:ascii="宋体" w:hAnsi="宋体" w:eastAsia="宋体" w:cs="宋体"/>
          <w:color w:val="auto"/>
          <w:sz w:val="24"/>
          <w:szCs w:val="24"/>
          <w:highlight w:val="none"/>
          <w:lang w:val="en-US" w:eastAsia="zh-CN"/>
        </w:rPr>
        <w:t>负责</w:t>
      </w:r>
      <w:r>
        <w:rPr>
          <w:rStyle w:val="11"/>
          <w:rFonts w:hint="eastAsia" w:ascii="宋体" w:hAnsi="宋体" w:eastAsia="宋体" w:cs="宋体"/>
          <w:color w:val="auto"/>
          <w:sz w:val="24"/>
          <w:szCs w:val="24"/>
          <w:highlight w:val="none"/>
          <w:lang w:val="en-US" w:eastAsia="zh-CN"/>
        </w:rPr>
        <w:t>。</w:t>
      </w:r>
    </w:p>
    <w:p w14:paraId="481F1AF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10.违约终止合同</w:t>
      </w:r>
    </w:p>
    <w:p w14:paraId="2120BE7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10.1在卖方违约的情况下，买方报告政府采购管理部门后，有权终止合同，并依法向卖方进行索赔。</w:t>
      </w:r>
    </w:p>
    <w:p w14:paraId="360C1054">
      <w:pPr>
        <w:pStyle w:val="13"/>
        <w:pageBreakBefore w:val="0"/>
        <w:widowControl w:val="0"/>
        <w:tabs>
          <w:tab w:val="left" w:pos="720"/>
        </w:tabs>
        <w:kinsoku/>
        <w:wordWrap/>
        <w:overflowPunct/>
        <w:topLinePunct w:val="0"/>
        <w:autoSpaceDE/>
        <w:autoSpaceDN/>
        <w:bidi w:val="0"/>
        <w:adjustRightInd/>
        <w:snapToGrid/>
        <w:spacing w:before="0" w:after="0" w:line="360" w:lineRule="auto"/>
        <w:textAlignment w:val="auto"/>
        <w:rPr>
          <w:rStyle w:val="11"/>
          <w:rFonts w:hint="eastAsia" w:ascii="宋体" w:hAnsi="宋体" w:eastAsia="宋体" w:cs="宋体"/>
          <w:color w:val="auto"/>
          <w:sz w:val="24"/>
          <w:szCs w:val="24"/>
          <w:highlight w:val="none"/>
        </w:rPr>
      </w:pPr>
      <w:r>
        <w:rPr>
          <w:rStyle w:val="11"/>
          <w:rFonts w:hint="eastAsia" w:ascii="宋体" w:hAnsi="宋体" w:eastAsia="宋体" w:cs="宋体"/>
          <w:color w:val="auto"/>
          <w:sz w:val="24"/>
          <w:szCs w:val="24"/>
          <w:highlight w:val="none"/>
        </w:rPr>
        <w:t>12.争议的解决</w:t>
      </w:r>
    </w:p>
    <w:p w14:paraId="10481338">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1"/>
          <w:rFonts w:hint="eastAsia" w:ascii="宋体" w:hAnsi="宋体" w:eastAsia="宋体" w:cs="宋体"/>
          <w:color w:val="auto"/>
          <w:sz w:val="24"/>
          <w:szCs w:val="24"/>
          <w:highlight w:val="none"/>
        </w:rPr>
      </w:pPr>
      <w:r>
        <w:rPr>
          <w:rStyle w:val="11"/>
          <w:rFonts w:hint="eastAsia" w:ascii="宋体" w:hAnsi="宋体" w:eastAsia="宋体" w:cs="宋体"/>
          <w:color w:val="auto"/>
          <w:sz w:val="24"/>
          <w:szCs w:val="24"/>
          <w:highlight w:val="none"/>
        </w:rPr>
        <w:t>12.1因执行本合同所发生的或与本合同有关的一切争议,双方应通过友好协商解决。如果协商开始后六十（60）天还不能解决，任何一方均可按中华人民共和国有关法律的规定提交仲裁。仲裁地点见“合同专用条款”。</w:t>
      </w:r>
    </w:p>
    <w:p w14:paraId="26CA67D8">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1"/>
          <w:rFonts w:hint="eastAsia" w:ascii="宋体" w:hAnsi="宋体" w:eastAsia="宋体" w:cs="宋体"/>
          <w:color w:val="auto"/>
          <w:sz w:val="24"/>
          <w:szCs w:val="24"/>
          <w:highlight w:val="none"/>
        </w:rPr>
      </w:pPr>
      <w:r>
        <w:rPr>
          <w:rStyle w:val="11"/>
          <w:rFonts w:hint="eastAsia" w:ascii="宋体" w:hAnsi="宋体" w:eastAsia="宋体" w:cs="宋体"/>
          <w:color w:val="auto"/>
          <w:sz w:val="24"/>
          <w:szCs w:val="24"/>
          <w:highlight w:val="none"/>
        </w:rPr>
        <w:t>12.2仲裁裁决应为最终裁决，对双方均具有约束力。</w:t>
      </w:r>
    </w:p>
    <w:p w14:paraId="728B9D56">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1"/>
          <w:rFonts w:hint="eastAsia" w:ascii="宋体" w:hAnsi="宋体" w:eastAsia="宋体" w:cs="宋体"/>
          <w:color w:val="auto"/>
          <w:sz w:val="24"/>
          <w:szCs w:val="24"/>
          <w:highlight w:val="none"/>
        </w:rPr>
      </w:pPr>
      <w:r>
        <w:rPr>
          <w:rStyle w:val="11"/>
          <w:rFonts w:hint="eastAsia" w:ascii="宋体" w:hAnsi="宋体" w:eastAsia="宋体" w:cs="宋体"/>
          <w:color w:val="auto"/>
          <w:sz w:val="24"/>
          <w:szCs w:val="24"/>
          <w:highlight w:val="none"/>
        </w:rPr>
        <w:t>12.3仲裁费除仲裁机关另有裁决外均应由败诉方负担。</w:t>
      </w:r>
    </w:p>
    <w:p w14:paraId="63941773">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color w:val="auto"/>
          <w:sz w:val="24"/>
          <w:szCs w:val="24"/>
          <w:highlight w:val="none"/>
        </w:rPr>
      </w:pPr>
      <w:r>
        <w:rPr>
          <w:rStyle w:val="11"/>
          <w:rFonts w:hint="eastAsia" w:ascii="宋体" w:hAnsi="宋体" w:eastAsia="宋体" w:cs="宋体"/>
          <w:color w:val="auto"/>
          <w:sz w:val="24"/>
          <w:szCs w:val="24"/>
          <w:highlight w:val="none"/>
        </w:rPr>
        <w:t>12.4在仲裁期间，除正在进行仲裁的部分外，本合同其它部分应继续执行。</w:t>
      </w:r>
    </w:p>
    <w:p w14:paraId="18F21F6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13.适用法律</w:t>
      </w:r>
    </w:p>
    <w:p w14:paraId="532DD7E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13.1本合同应按照中华人民共和国的现行法律进行解释。</w:t>
      </w:r>
    </w:p>
    <w:p w14:paraId="4CB8163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14.合同生效及其它</w:t>
      </w:r>
    </w:p>
    <w:p w14:paraId="5B06DC0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14.1本合同在买卖双方签字、盖章之后生效。</w:t>
      </w:r>
    </w:p>
    <w:p w14:paraId="3F7695C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14.2本合同正本一式二份，副本一式四份，均以中文书写。买方执正本一份、副本二份；卖方执正本一份，副本一份；政府采购管理部门备案副本一份。</w:t>
      </w:r>
    </w:p>
    <w:p w14:paraId="11E2F33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15.合同修改</w:t>
      </w:r>
    </w:p>
    <w:p w14:paraId="647011B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15.1本合同在执行过程中，如提出修改，须报政府采购管理部门同意后，由买、卖双方签署书面修改协议，并成为本合同不可分割的一部分。除此之外，本合同的条件不得有任何变化或修改。</w:t>
      </w:r>
    </w:p>
    <w:p w14:paraId="6008794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16.合同附件</w:t>
      </w:r>
    </w:p>
    <w:p w14:paraId="02DDF34D">
      <w:pPr>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highlight w:val="none"/>
        </w:rPr>
      </w:pPr>
      <w:r>
        <w:rPr>
          <w:rFonts w:hint="eastAsia" w:ascii="宋体" w:hAnsi="宋体" w:eastAsia="宋体" w:cs="宋体"/>
          <w:color w:val="auto"/>
          <w:sz w:val="24"/>
          <w:szCs w:val="24"/>
          <w:highlight w:val="none"/>
        </w:rPr>
        <w:t>16.1本合同所有附件是本合同不可分割的部分,与主合同具有同等法律效力。</w:t>
      </w:r>
    </w:p>
    <w:p w14:paraId="29E2E416">
      <w:pPr>
        <w:keepNext w:val="0"/>
        <w:keepLines w:val="0"/>
        <w:pageBreakBefore w:val="0"/>
        <w:widowControl w:val="0"/>
        <w:kinsoku/>
        <w:wordWrap/>
        <w:overflowPunct/>
        <w:topLinePunct w:val="0"/>
        <w:autoSpaceDE/>
        <w:autoSpaceDN/>
        <w:bidi w:val="0"/>
        <w:adjustRightInd/>
        <w:snapToGrid/>
        <w:jc w:val="center"/>
        <w:textAlignment w:val="auto"/>
        <w:outlineLvl w:val="9"/>
        <w:rPr>
          <w:rStyle w:val="14"/>
          <w:rFonts w:hint="eastAsia" w:ascii="宋体" w:hAnsi="宋体" w:cs="宋体"/>
          <w:b/>
          <w:bCs/>
          <w:color w:val="auto"/>
          <w:kern w:val="0"/>
          <w:sz w:val="36"/>
          <w:szCs w:val="36"/>
          <w:highlight w:val="none"/>
        </w:rPr>
      </w:pPr>
      <w:r>
        <w:rPr>
          <w:rFonts w:hint="eastAsia" w:ascii="宋体" w:hAnsi="宋体"/>
          <w:b/>
          <w:color w:val="auto"/>
          <w:sz w:val="36"/>
          <w:highlight w:val="none"/>
        </w:rPr>
        <w:br w:type="page"/>
      </w:r>
      <w:bookmarkStart w:id="0" w:name="_Toc3785"/>
      <w:bookmarkStart w:id="1" w:name="_Toc18695"/>
      <w:bookmarkStart w:id="2" w:name="_Toc27467"/>
      <w:r>
        <w:rPr>
          <w:rStyle w:val="14"/>
          <w:rFonts w:hint="eastAsia" w:ascii="宋体" w:hAnsi="宋体" w:cs="宋体"/>
          <w:b/>
          <w:bCs/>
          <w:color w:val="auto"/>
          <w:kern w:val="0"/>
          <w:sz w:val="32"/>
          <w:szCs w:val="32"/>
          <w:highlight w:val="none"/>
        </w:rPr>
        <w:t>合同专用条款</w:t>
      </w:r>
      <w:bookmarkEnd w:id="0"/>
    </w:p>
    <w:bookmarkEnd w:id="1"/>
    <w:bookmarkEnd w:id="2"/>
    <w:p w14:paraId="01E15855">
      <w:pPr>
        <w:keepNext w:val="0"/>
        <w:keepLines w:val="0"/>
        <w:pageBreakBefore w:val="0"/>
        <w:widowControl w:val="0"/>
        <w:kinsoku/>
        <w:wordWrap/>
        <w:overflowPunct/>
        <w:topLinePunct w:val="0"/>
        <w:autoSpaceDE/>
        <w:autoSpaceDN/>
        <w:bidi w:val="0"/>
        <w:adjustRightInd/>
        <w:snapToGrid/>
        <w:textAlignment w:val="auto"/>
        <w:outlineLvl w:val="9"/>
        <w:rPr>
          <w:rFonts w:hint="eastAsia"/>
          <w:color w:val="auto"/>
          <w:highlight w:val="none"/>
        </w:rPr>
      </w:pPr>
    </w:p>
    <w:p w14:paraId="2C27E137">
      <w:pPr>
        <w:ind w:firstLine="480" w:firstLineChars="200"/>
        <w:rPr>
          <w:rFonts w:hint="eastAsia"/>
          <w:color w:val="auto"/>
          <w:sz w:val="24"/>
          <w:szCs w:val="24"/>
          <w:highlight w:val="none"/>
        </w:rPr>
      </w:pPr>
      <w:r>
        <w:rPr>
          <w:rFonts w:hint="eastAsia"/>
          <w:color w:val="auto"/>
          <w:sz w:val="24"/>
          <w:szCs w:val="24"/>
          <w:highlight w:val="none"/>
        </w:rPr>
        <w:t>本表是对《合同通用条款》的具体补充和修改，如有矛盾，应以本表为准。</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17"/>
        <w:gridCol w:w="6833"/>
      </w:tblGrid>
      <w:tr w14:paraId="7153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908" w:type="pct"/>
            <w:tcBorders>
              <w:tl2br w:val="nil"/>
              <w:tr2bl w:val="nil"/>
            </w:tcBorders>
            <w:noWrap/>
            <w:vAlign w:val="center"/>
          </w:tcPr>
          <w:p w14:paraId="3EA9486C">
            <w:pPr>
              <w:jc w:val="center"/>
              <w:rPr>
                <w:rFonts w:ascii="宋体" w:hAnsi="宋体" w:cs="宋体"/>
                <w:color w:val="auto"/>
                <w:sz w:val="24"/>
                <w:szCs w:val="24"/>
                <w:highlight w:val="none"/>
              </w:rPr>
            </w:pPr>
            <w:r>
              <w:rPr>
                <w:rFonts w:hint="eastAsia" w:ascii="宋体" w:hAnsi="宋体" w:cs="宋体"/>
                <w:color w:val="auto"/>
                <w:sz w:val="24"/>
                <w:szCs w:val="24"/>
                <w:highlight w:val="none"/>
              </w:rPr>
              <w:t>条款号</w:t>
            </w:r>
          </w:p>
        </w:tc>
        <w:tc>
          <w:tcPr>
            <w:tcW w:w="4091" w:type="pct"/>
            <w:tcBorders>
              <w:tl2br w:val="nil"/>
              <w:tr2bl w:val="nil"/>
            </w:tcBorders>
            <w:noWrap/>
            <w:vAlign w:val="center"/>
          </w:tcPr>
          <w:p w14:paraId="09080DAD">
            <w:pPr>
              <w:jc w:val="center"/>
              <w:rPr>
                <w:rFonts w:ascii="宋体" w:hAnsi="宋体" w:cs="宋体"/>
                <w:b/>
                <w:color w:val="auto"/>
                <w:sz w:val="24"/>
                <w:szCs w:val="24"/>
                <w:highlight w:val="none"/>
              </w:rPr>
            </w:pPr>
            <w:r>
              <w:rPr>
                <w:rFonts w:hint="eastAsia" w:ascii="宋体" w:hAnsi="宋体" w:cs="宋体"/>
                <w:b/>
                <w:color w:val="auto"/>
                <w:sz w:val="24"/>
                <w:szCs w:val="24"/>
                <w:highlight w:val="none"/>
              </w:rPr>
              <w:t>内      容</w:t>
            </w:r>
          </w:p>
        </w:tc>
      </w:tr>
      <w:tr w14:paraId="7456B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40" w:hRule="atLeast"/>
        </w:trPr>
        <w:tc>
          <w:tcPr>
            <w:tcW w:w="908" w:type="pct"/>
            <w:tcBorders>
              <w:tl2br w:val="nil"/>
              <w:tr2bl w:val="nil"/>
            </w:tcBorders>
            <w:noWrap/>
            <w:vAlign w:val="center"/>
          </w:tcPr>
          <w:p w14:paraId="13023975">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4091" w:type="pct"/>
            <w:tcBorders>
              <w:tl2br w:val="nil"/>
              <w:tr2bl w:val="nil"/>
            </w:tcBorders>
            <w:noWrap/>
            <w:vAlign w:val="center"/>
          </w:tcPr>
          <w:p w14:paraId="2A59760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olor w:val="auto"/>
                <w:sz w:val="24"/>
                <w:highlight w:val="none"/>
              </w:rPr>
            </w:pPr>
            <w:r>
              <w:rPr>
                <w:rFonts w:hint="eastAsia"/>
                <w:color w:val="auto"/>
                <w:sz w:val="24"/>
                <w:highlight w:val="none"/>
              </w:rPr>
              <w:t>买方名称：西安市体育训练中心（西安市人民体育场）</w:t>
            </w:r>
          </w:p>
          <w:p w14:paraId="78779C0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olor w:val="auto"/>
                <w:sz w:val="24"/>
                <w:highlight w:val="none"/>
              </w:rPr>
            </w:pPr>
            <w:r>
              <w:rPr>
                <w:rFonts w:hint="eastAsia"/>
                <w:color w:val="auto"/>
                <w:sz w:val="24"/>
                <w:highlight w:val="none"/>
              </w:rPr>
              <w:t>地址：西安市国际港务区港务西路西安市体育训练中心</w:t>
            </w:r>
          </w:p>
        </w:tc>
      </w:tr>
      <w:tr w14:paraId="161AC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40" w:hRule="atLeast"/>
        </w:trPr>
        <w:tc>
          <w:tcPr>
            <w:tcW w:w="908" w:type="pct"/>
            <w:tcBorders>
              <w:tl2br w:val="nil"/>
              <w:tr2bl w:val="nil"/>
            </w:tcBorders>
            <w:noWrap/>
            <w:vAlign w:val="center"/>
          </w:tcPr>
          <w:p w14:paraId="6FF1125E">
            <w:pPr>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p>
        </w:tc>
        <w:tc>
          <w:tcPr>
            <w:tcW w:w="4091" w:type="pct"/>
            <w:tcBorders>
              <w:tl2br w:val="nil"/>
              <w:tr2bl w:val="nil"/>
            </w:tcBorders>
            <w:noWrap/>
            <w:vAlign w:val="center"/>
          </w:tcPr>
          <w:p w14:paraId="7DF8745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eastAsia="宋体"/>
                <w:color w:val="auto"/>
                <w:sz w:val="24"/>
                <w:highlight w:val="none"/>
                <w:lang w:eastAsia="zh-CN"/>
              </w:rPr>
            </w:pPr>
            <w:r>
              <w:rPr>
                <w:rFonts w:hint="eastAsia"/>
                <w:color w:val="auto"/>
                <w:sz w:val="24"/>
                <w:highlight w:val="none"/>
                <w:lang w:eastAsia="zh-CN"/>
              </w:rPr>
              <w:t>服务要求：具体内容详见本项目</w:t>
            </w:r>
            <w:r>
              <w:rPr>
                <w:rFonts w:hint="eastAsia"/>
                <w:b/>
                <w:bCs/>
                <w:color w:val="auto"/>
                <w:sz w:val="24"/>
                <w:highlight w:val="none"/>
                <w:lang w:eastAsia="zh-CN"/>
              </w:rPr>
              <w:t>“第三章</w:t>
            </w:r>
            <w:r>
              <w:rPr>
                <w:rFonts w:hint="eastAsia"/>
                <w:b/>
                <w:bCs/>
                <w:color w:val="auto"/>
                <w:sz w:val="24"/>
                <w:highlight w:val="none"/>
                <w:lang w:val="en-US" w:eastAsia="zh-CN"/>
              </w:rPr>
              <w:t xml:space="preserve"> 磋商项目技术、服务、商务及其他要求</w:t>
            </w:r>
            <w:r>
              <w:rPr>
                <w:rFonts w:hint="eastAsia"/>
                <w:b/>
                <w:bCs/>
                <w:color w:val="auto"/>
                <w:sz w:val="24"/>
                <w:highlight w:val="none"/>
                <w:lang w:eastAsia="zh-CN"/>
              </w:rPr>
              <w:t>”</w:t>
            </w:r>
          </w:p>
        </w:tc>
      </w:tr>
      <w:tr w14:paraId="7F0C4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40" w:hRule="atLeast"/>
        </w:trPr>
        <w:tc>
          <w:tcPr>
            <w:tcW w:w="908" w:type="pct"/>
            <w:tcBorders>
              <w:tl2br w:val="nil"/>
              <w:tr2bl w:val="nil"/>
            </w:tcBorders>
            <w:noWrap/>
            <w:vAlign w:val="center"/>
          </w:tcPr>
          <w:p w14:paraId="38FF9AB2">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4091" w:type="pct"/>
            <w:tcBorders>
              <w:tl2br w:val="nil"/>
              <w:tr2bl w:val="nil"/>
            </w:tcBorders>
            <w:noWrap/>
            <w:vAlign w:val="center"/>
          </w:tcPr>
          <w:p w14:paraId="7DA575D7">
            <w:pPr>
              <w:keepNext w:val="0"/>
              <w:keepLines w:val="0"/>
              <w:pageBreakBefore w:val="0"/>
              <w:widowControl w:val="0"/>
              <w:kinsoku/>
              <w:wordWrap/>
              <w:overflowPunct/>
              <w:topLinePunct w:val="0"/>
              <w:autoSpaceDE/>
              <w:autoSpaceDN/>
              <w:bidi w:val="0"/>
              <w:adjustRightInd/>
              <w:snapToGrid/>
              <w:spacing w:line="360" w:lineRule="exact"/>
              <w:textAlignment w:val="auto"/>
              <w:rPr>
                <w:color w:val="auto"/>
                <w:sz w:val="24"/>
                <w:highlight w:val="none"/>
              </w:rPr>
            </w:pPr>
            <w:r>
              <w:rPr>
                <w:rFonts w:hint="eastAsia"/>
                <w:color w:val="auto"/>
                <w:sz w:val="24"/>
                <w:highlight w:val="none"/>
              </w:rPr>
              <w:t>服务</w:t>
            </w:r>
            <w:r>
              <w:rPr>
                <w:rFonts w:hint="eastAsia" w:eastAsia="宋体"/>
                <w:color w:val="auto"/>
                <w:sz w:val="24"/>
                <w:highlight w:val="none"/>
                <w:lang w:eastAsia="zh-CN"/>
              </w:rPr>
              <w:t>期限</w:t>
            </w:r>
            <w:r>
              <w:rPr>
                <w:rFonts w:hint="eastAsia"/>
                <w:color w:val="auto"/>
                <w:sz w:val="24"/>
                <w:highlight w:val="none"/>
                <w:lang w:eastAsia="zh-CN"/>
              </w:rPr>
              <w:t>：自202</w:t>
            </w:r>
            <w:r>
              <w:rPr>
                <w:rFonts w:hint="eastAsia"/>
                <w:color w:val="auto"/>
                <w:sz w:val="24"/>
                <w:highlight w:val="none"/>
                <w:lang w:val="en-US" w:eastAsia="zh-CN"/>
              </w:rPr>
              <w:t>6</w:t>
            </w:r>
            <w:r>
              <w:rPr>
                <w:rFonts w:hint="eastAsia"/>
                <w:color w:val="auto"/>
                <w:sz w:val="24"/>
                <w:highlight w:val="none"/>
                <w:lang w:eastAsia="zh-CN"/>
              </w:rPr>
              <w:t>年6月1日起至202</w:t>
            </w:r>
            <w:r>
              <w:rPr>
                <w:rFonts w:hint="eastAsia"/>
                <w:color w:val="auto"/>
                <w:sz w:val="24"/>
                <w:highlight w:val="none"/>
                <w:lang w:val="en-US" w:eastAsia="zh-CN"/>
              </w:rPr>
              <w:t>7</w:t>
            </w:r>
            <w:r>
              <w:rPr>
                <w:rFonts w:hint="eastAsia"/>
                <w:color w:val="auto"/>
                <w:sz w:val="24"/>
                <w:highlight w:val="none"/>
                <w:lang w:eastAsia="zh-CN"/>
              </w:rPr>
              <w:t>年5月31日止。</w:t>
            </w:r>
          </w:p>
          <w:p w14:paraId="263D911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olor w:val="auto"/>
                <w:sz w:val="24"/>
                <w:highlight w:val="none"/>
              </w:rPr>
            </w:pPr>
            <w:r>
              <w:rPr>
                <w:rFonts w:hint="eastAsia"/>
                <w:color w:val="auto"/>
                <w:sz w:val="24"/>
                <w:highlight w:val="none"/>
              </w:rPr>
              <w:t>服务地点</w:t>
            </w:r>
            <w:r>
              <w:rPr>
                <w:rFonts w:hint="eastAsia"/>
                <w:color w:val="auto"/>
                <w:sz w:val="24"/>
                <w:highlight w:val="none"/>
                <w:lang w:eastAsia="zh-CN"/>
              </w:rPr>
              <w:t>：西安市体育训练中心</w:t>
            </w:r>
          </w:p>
        </w:tc>
      </w:tr>
      <w:tr w14:paraId="4A05F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908" w:type="pct"/>
            <w:tcBorders>
              <w:tl2br w:val="nil"/>
              <w:tr2bl w:val="nil"/>
            </w:tcBorders>
            <w:noWrap/>
            <w:vAlign w:val="center"/>
          </w:tcPr>
          <w:p w14:paraId="55393DBF">
            <w:pPr>
              <w:jc w:val="center"/>
              <w:rPr>
                <w:rFonts w:ascii="宋体" w:hAnsi="宋体" w:cs="宋体"/>
                <w:color w:val="auto"/>
                <w:sz w:val="24"/>
                <w:szCs w:val="24"/>
                <w:highlight w:val="none"/>
              </w:rPr>
            </w:pPr>
            <w:r>
              <w:rPr>
                <w:rFonts w:hint="eastAsia" w:ascii="宋体" w:hAnsi="宋体" w:cs="宋体"/>
                <w:color w:val="auto"/>
                <w:sz w:val="24"/>
                <w:szCs w:val="24"/>
                <w:highlight w:val="none"/>
              </w:rPr>
              <w:t>7.3</w:t>
            </w:r>
          </w:p>
        </w:tc>
        <w:tc>
          <w:tcPr>
            <w:tcW w:w="4091" w:type="pct"/>
            <w:tcBorders>
              <w:tl2br w:val="nil"/>
              <w:tr2bl w:val="nil"/>
            </w:tcBorders>
            <w:noWrap/>
            <w:vAlign w:val="center"/>
          </w:tcPr>
          <w:p w14:paraId="71FCDB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left"/>
              <w:textAlignment w:val="auto"/>
              <w:rPr>
                <w:rFonts w:ascii="宋体" w:hAnsi="宋体" w:cs="宋体"/>
                <w:color w:val="auto"/>
                <w:sz w:val="24"/>
                <w:szCs w:val="24"/>
                <w:highlight w:val="none"/>
              </w:rPr>
            </w:pPr>
            <w:r>
              <w:rPr>
                <w:rFonts w:hint="eastAsia" w:ascii="宋体" w:hAnsi="宋体" w:eastAsia="宋体" w:cs="宋体"/>
                <w:b/>
                <w:bCs/>
                <w:color w:val="auto"/>
                <w:kern w:val="2"/>
                <w:sz w:val="24"/>
                <w:szCs w:val="24"/>
                <w:highlight w:val="none"/>
                <w:lang w:val="en-US" w:eastAsia="zh-CN" w:bidi="ar"/>
              </w:rPr>
              <w:t>付款计划：</w:t>
            </w:r>
            <w:r>
              <w:rPr>
                <w:rFonts w:hint="eastAsia" w:ascii="宋体" w:hAnsi="宋体" w:eastAsia="宋体" w:cs="宋体"/>
                <w:b w:val="0"/>
                <w:bCs w:val="0"/>
                <w:color w:val="auto"/>
                <w:kern w:val="2"/>
                <w:sz w:val="24"/>
                <w:szCs w:val="24"/>
                <w:highlight w:val="none"/>
                <w:lang w:val="en-US" w:eastAsia="zh-CN" w:bidi="ar"/>
              </w:rPr>
              <w:t>合同签订后5个工作日内，达到付款条件起 5 日内，支付合同总金额的 60.00%;全面维保期间支付维保进度款，达到付款条件起 5 日内，支付合同总金额的 30.00%;项目实施阶段完成后5个工作日内，达到付款条件起 5 日内，支付合同总金额的 10.00%。</w:t>
            </w:r>
          </w:p>
        </w:tc>
      </w:tr>
      <w:tr w14:paraId="59E04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trPr>
        <w:tc>
          <w:tcPr>
            <w:tcW w:w="908" w:type="pct"/>
            <w:tcBorders>
              <w:tl2br w:val="nil"/>
              <w:tr2bl w:val="nil"/>
            </w:tcBorders>
            <w:noWrap/>
            <w:vAlign w:val="center"/>
          </w:tcPr>
          <w:p w14:paraId="19FFC200">
            <w:pPr>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p>
        </w:tc>
        <w:tc>
          <w:tcPr>
            <w:tcW w:w="4091" w:type="pct"/>
            <w:tcBorders>
              <w:tl2br w:val="nil"/>
              <w:tr2bl w:val="nil"/>
            </w:tcBorders>
            <w:noWrap/>
            <w:vAlign w:val="center"/>
          </w:tcPr>
          <w:p w14:paraId="3963B0A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违约责任：</w:t>
            </w:r>
          </w:p>
          <w:p w14:paraId="625A213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1、卖方提供的服务不合格：卖方所提供的服务不合格的，应及时更正。更正不及时的按逾期交付服务处理，因服务质量问题买方不同意接收的或特殊情况买方不同意接收的，卖方应向买方支付按本台同合计金额一定比例的违约金（如10%）并赔偿买方经济损失。</w:t>
            </w:r>
          </w:p>
          <w:p w14:paraId="3BC7C76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2、卖方服务侵犯第三方权益：卖方提供的服务如侵犯了第三方合法权益而引发的任何纠纷或诉讼，均由卖方负责交涉并承担全部责任。</w:t>
            </w:r>
          </w:p>
          <w:p w14:paraId="3F255B4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3、买方无故延期接收：买方无故延期接收的，每天向对方偿付违约货款额一定比例的违约金（如2%）但违约金累计不得超过合同合计金额的某一比例（如5%）。超过一定天数（如15天）对方有权解除合同。违约方承担因此给对方造成的经济损失。买方延期付货款的，每天向卖方偿付延期货款额的滞纳金（如2%），但滞纳金累计不得超过合同额的某一比例（如5%）。</w:t>
            </w:r>
          </w:p>
          <w:p w14:paraId="5B06011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4、卖方未提供规定售后服务：卖方未按本合同和投标文件中规定的服务承诺提供售后服务的，卖方应按本合同合计金额一定比例（如5%）向采购人支付违约金。</w:t>
            </w:r>
          </w:p>
          <w:p w14:paraId="7BDEC60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5、卖方服务在履约质量保证期内造成损失：卖方提供的服务在履约质量保证期内，因服务水准及基它原因造成的损失，由卖方负责。</w:t>
            </w:r>
          </w:p>
        </w:tc>
      </w:tr>
      <w:tr w14:paraId="6A215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trPr>
        <w:tc>
          <w:tcPr>
            <w:tcW w:w="908" w:type="pct"/>
            <w:tcBorders>
              <w:tl2br w:val="nil"/>
              <w:tr2bl w:val="nil"/>
            </w:tcBorders>
            <w:noWrap/>
            <w:vAlign w:val="center"/>
          </w:tcPr>
          <w:p w14:paraId="7FC41824">
            <w:pPr>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12</w:t>
            </w:r>
          </w:p>
        </w:tc>
        <w:tc>
          <w:tcPr>
            <w:tcW w:w="4091" w:type="pct"/>
            <w:tcBorders>
              <w:tl2br w:val="nil"/>
              <w:tr2bl w:val="nil"/>
            </w:tcBorders>
            <w:noWrap/>
            <w:vAlign w:val="center"/>
          </w:tcPr>
          <w:p w14:paraId="419D9B3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cs="宋体"/>
                <w:color w:val="auto"/>
                <w:sz w:val="24"/>
                <w:szCs w:val="24"/>
                <w:highlight w:val="none"/>
              </w:rPr>
            </w:pPr>
            <w:r>
              <w:rPr>
                <w:rFonts w:hint="eastAsia" w:ascii="宋体" w:hAnsi="宋体" w:cs="宋体"/>
                <w:b/>
                <w:bCs/>
                <w:color w:val="auto"/>
                <w:sz w:val="24"/>
                <w:szCs w:val="24"/>
                <w:highlight w:val="none"/>
              </w:rPr>
              <w:t>争议的解决</w:t>
            </w:r>
            <w:r>
              <w:rPr>
                <w:rFonts w:hint="eastAsia" w:ascii="宋体" w:hAnsi="宋体" w:cs="宋体"/>
                <w:b/>
                <w:bCs/>
                <w:color w:val="auto"/>
                <w:sz w:val="24"/>
                <w:szCs w:val="24"/>
                <w:highlight w:val="none"/>
                <w:lang w:eastAsia="zh-CN"/>
              </w:rPr>
              <w:t>：</w:t>
            </w:r>
            <w:r>
              <w:rPr>
                <w:rFonts w:hint="eastAsia" w:ascii="宋体" w:hAnsi="宋体" w:cs="宋体"/>
                <w:color w:val="auto"/>
                <w:sz w:val="24"/>
                <w:szCs w:val="24"/>
                <w:highlight w:val="none"/>
                <w:lang w:eastAsia="zh-CN"/>
              </w:rPr>
              <w:t>因服务方案问题发生争议的，应聘请国家认可的相关部门进行鉴定。服务符合标准的，鉴定费由买方承担；服务不符合标准的，鉴定费由卖方承担。因履行本合同引起的或与本合同有关的争议，甲乙双方应首先通过友好协商解决，如果协商不能解决，可向仲裁委员会申请仲裁或向人民法院提起诉讼。</w:t>
            </w:r>
          </w:p>
        </w:tc>
      </w:tr>
    </w:tbl>
    <w:p w14:paraId="7C0B1B7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Style w:val="14"/>
          <w:rFonts w:hint="eastAsia" w:ascii="宋体" w:hAnsi="宋体" w:cs="宋体"/>
          <w:b/>
          <w:bCs/>
          <w:color w:val="auto"/>
          <w:kern w:val="0"/>
          <w:sz w:val="36"/>
          <w:szCs w:val="36"/>
          <w:highlight w:val="none"/>
        </w:rPr>
      </w:pPr>
      <w:r>
        <w:rPr>
          <w:color w:val="auto"/>
          <w:szCs w:val="21"/>
          <w:highlight w:val="none"/>
        </w:rPr>
        <w:br w:type="page"/>
      </w:r>
      <w:bookmarkStart w:id="3" w:name="_Toc11119"/>
      <w:bookmarkStart w:id="4" w:name="_Toc13293"/>
      <w:bookmarkStart w:id="5" w:name="_Toc6324"/>
      <w:r>
        <w:rPr>
          <w:rStyle w:val="14"/>
          <w:rFonts w:hint="eastAsia" w:ascii="宋体" w:hAnsi="宋体" w:cs="宋体"/>
          <w:b/>
          <w:bCs/>
          <w:color w:val="auto"/>
          <w:kern w:val="0"/>
          <w:sz w:val="32"/>
          <w:szCs w:val="32"/>
          <w:highlight w:val="none"/>
        </w:rPr>
        <w:t>合同格式</w:t>
      </w:r>
      <w:bookmarkEnd w:id="3"/>
    </w:p>
    <w:bookmarkEnd w:id="4"/>
    <w:bookmarkEnd w:id="5"/>
    <w:p w14:paraId="61252919">
      <w:pPr>
        <w:rPr>
          <w:rFonts w:hint="eastAsia"/>
          <w:color w:val="auto"/>
          <w:sz w:val="28"/>
          <w:szCs w:val="28"/>
          <w:highlight w:val="none"/>
        </w:rPr>
      </w:pPr>
      <w:r>
        <w:rPr>
          <w:rFonts w:hint="eastAsia"/>
          <w:color w:val="auto"/>
          <w:sz w:val="28"/>
          <w:szCs w:val="28"/>
          <w:highlight w:val="none"/>
        </w:rPr>
        <w:br w:type="page"/>
      </w:r>
      <w:r>
        <w:rPr>
          <w:rFonts w:hint="eastAsia"/>
          <w:color w:val="auto"/>
          <w:sz w:val="28"/>
          <w:szCs w:val="28"/>
          <w:highlight w:val="none"/>
        </w:rPr>
        <w:t>1、合同封面格式</w:t>
      </w:r>
    </w:p>
    <w:tbl>
      <w:tblPr>
        <w:tblStyle w:val="7"/>
        <w:tblW w:w="8295" w:type="dxa"/>
        <w:tblInd w:w="0" w:type="dxa"/>
        <w:tblLayout w:type="fixed"/>
        <w:tblCellMar>
          <w:top w:w="0" w:type="dxa"/>
          <w:left w:w="0" w:type="dxa"/>
          <w:bottom w:w="0" w:type="dxa"/>
          <w:right w:w="0" w:type="dxa"/>
        </w:tblCellMar>
      </w:tblPr>
      <w:tblGrid>
        <w:gridCol w:w="2548"/>
        <w:gridCol w:w="5747"/>
      </w:tblGrid>
      <w:tr w14:paraId="3178AA0C">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3801429D">
            <w:pPr>
              <w:ind w:firstLine="5926" w:firstLineChars="1851"/>
              <w:rPr>
                <w:rFonts w:ascii="宋体" w:hAnsi="宋体" w:cs="宋体"/>
                <w:b/>
                <w:bCs/>
                <w:color w:val="auto"/>
                <w:sz w:val="32"/>
                <w:szCs w:val="32"/>
                <w:highlight w:val="none"/>
              </w:rPr>
            </w:pPr>
            <w:r>
              <w:rPr>
                <w:rFonts w:hint="eastAsia"/>
                <w:b/>
                <w:bCs/>
                <w:color w:val="auto"/>
                <w:sz w:val="32"/>
                <w:szCs w:val="32"/>
                <w:highlight w:val="none"/>
              </w:rPr>
              <w:t>项目</w:t>
            </w:r>
          </w:p>
        </w:tc>
      </w:tr>
      <w:tr w14:paraId="60A0B41C">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4C0C91D9">
            <w:pPr>
              <w:jc w:val="center"/>
              <w:rPr>
                <w:rFonts w:ascii="宋体" w:hAnsi="宋体" w:cs="宋体"/>
                <w:b/>
                <w:bCs/>
                <w:color w:val="auto"/>
                <w:sz w:val="32"/>
                <w:szCs w:val="32"/>
                <w:highlight w:val="none"/>
              </w:rPr>
            </w:pPr>
            <w:r>
              <w:rPr>
                <w:rFonts w:hint="eastAsia"/>
                <w:b/>
                <w:bCs/>
                <w:color w:val="auto"/>
                <w:sz w:val="32"/>
                <w:szCs w:val="32"/>
                <w:highlight w:val="none"/>
                <w:lang w:eastAsia="zh-CN"/>
              </w:rPr>
              <w:t>服务</w:t>
            </w:r>
            <w:r>
              <w:rPr>
                <w:rFonts w:hint="eastAsia"/>
                <w:b/>
                <w:bCs/>
                <w:color w:val="auto"/>
                <w:sz w:val="32"/>
                <w:szCs w:val="32"/>
                <w:highlight w:val="none"/>
              </w:rPr>
              <w:t>合同</w:t>
            </w:r>
          </w:p>
        </w:tc>
      </w:tr>
      <w:tr w14:paraId="67533C4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F6E66D6">
            <w:pPr>
              <w:rPr>
                <w:rFonts w:ascii="宋体" w:hAnsi="宋体" w:cs="宋体"/>
                <w:color w:val="auto"/>
                <w:sz w:val="24"/>
                <w:szCs w:val="24"/>
                <w:highlight w:val="none"/>
              </w:rPr>
            </w:pPr>
            <w:r>
              <w:rPr>
                <w:rFonts w:hint="eastAsia" w:ascii="宋体" w:hAnsi="宋体"/>
                <w:color w:val="auto"/>
                <w:sz w:val="24"/>
                <w:szCs w:val="24"/>
                <w:highlight w:val="none"/>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29AACF17">
            <w:pPr>
              <w:rPr>
                <w:rFonts w:ascii="宋体" w:hAnsi="宋体" w:cs="宋体"/>
                <w:color w:val="auto"/>
                <w:sz w:val="24"/>
                <w:szCs w:val="24"/>
                <w:highlight w:val="none"/>
              </w:rPr>
            </w:pPr>
          </w:p>
        </w:tc>
      </w:tr>
      <w:tr w14:paraId="382A115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7F96B85">
            <w:pPr>
              <w:rPr>
                <w:rFonts w:ascii="宋体" w:hAnsi="宋体" w:cs="宋体"/>
                <w:color w:val="auto"/>
                <w:sz w:val="24"/>
                <w:szCs w:val="24"/>
                <w:highlight w:val="none"/>
              </w:rPr>
            </w:pPr>
            <w:r>
              <w:rPr>
                <w:rFonts w:hint="eastAsia" w:ascii="宋体" w:hAnsi="宋体"/>
                <w:color w:val="auto"/>
                <w:sz w:val="24"/>
                <w:szCs w:val="24"/>
                <w:highlight w:val="none"/>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4CCC34F2">
            <w:pPr>
              <w:rPr>
                <w:rFonts w:ascii="宋体" w:hAnsi="宋体" w:cs="宋体"/>
                <w:color w:val="auto"/>
                <w:sz w:val="24"/>
                <w:szCs w:val="24"/>
                <w:highlight w:val="none"/>
              </w:rPr>
            </w:pPr>
            <w:r>
              <w:rPr>
                <w:rFonts w:hint="eastAsia" w:ascii="宋体" w:hAnsi="宋体"/>
                <w:color w:val="auto"/>
                <w:sz w:val="24"/>
                <w:szCs w:val="24"/>
                <w:highlight w:val="none"/>
              </w:rPr>
              <w:t>202</w:t>
            </w:r>
            <w:r>
              <w:rPr>
                <w:rFonts w:hint="eastAsia" w:ascii="宋体" w:hAnsi="宋体" w:eastAsia="宋体"/>
                <w:color w:val="auto"/>
                <w:sz w:val="24"/>
                <w:szCs w:val="24"/>
                <w:highlight w:val="none"/>
                <w:lang w:val="en-US" w:eastAsia="zh-CN"/>
              </w:rPr>
              <w:t>6</w:t>
            </w:r>
            <w:r>
              <w:rPr>
                <w:rFonts w:hint="eastAsia" w:ascii="宋体" w:hAnsi="宋体"/>
                <w:color w:val="auto"/>
                <w:sz w:val="24"/>
                <w:szCs w:val="24"/>
                <w:highlight w:val="none"/>
              </w:rPr>
              <w:t>年   月   日</w:t>
            </w:r>
          </w:p>
        </w:tc>
      </w:tr>
      <w:tr w14:paraId="5D2325C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57C50AE">
            <w:pPr>
              <w:rPr>
                <w:rFonts w:ascii="宋体" w:hAnsi="宋体" w:cs="宋体"/>
                <w:color w:val="auto"/>
                <w:sz w:val="24"/>
                <w:szCs w:val="24"/>
                <w:highlight w:val="none"/>
              </w:rPr>
            </w:pPr>
            <w:r>
              <w:rPr>
                <w:rFonts w:hint="eastAsia" w:ascii="宋体" w:hAnsi="宋体"/>
                <w:color w:val="auto"/>
                <w:sz w:val="24"/>
                <w:szCs w:val="24"/>
                <w:highlight w:val="none"/>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3CE868F5">
            <w:pPr>
              <w:rPr>
                <w:rFonts w:ascii="宋体" w:hAnsi="宋体" w:cs="宋体"/>
                <w:color w:val="auto"/>
                <w:sz w:val="24"/>
                <w:szCs w:val="24"/>
                <w:highlight w:val="none"/>
              </w:rPr>
            </w:pPr>
          </w:p>
        </w:tc>
      </w:tr>
      <w:tr w14:paraId="6F3560F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E927FD5">
            <w:pPr>
              <w:rPr>
                <w:rFonts w:ascii="宋体" w:hAnsi="宋体" w:cs="宋体"/>
                <w:color w:val="auto"/>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58BC43EF">
            <w:pPr>
              <w:rPr>
                <w:rFonts w:ascii="宋体" w:hAnsi="宋体" w:cs="宋体"/>
                <w:color w:val="auto"/>
                <w:sz w:val="24"/>
                <w:szCs w:val="24"/>
                <w:highlight w:val="none"/>
              </w:rPr>
            </w:pPr>
          </w:p>
        </w:tc>
      </w:tr>
      <w:tr w14:paraId="2D3FB0E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E16E9D8">
            <w:pPr>
              <w:rPr>
                <w:rFonts w:ascii="宋体" w:hAnsi="宋体" w:cs="宋体"/>
                <w:color w:val="auto"/>
                <w:sz w:val="24"/>
                <w:szCs w:val="24"/>
                <w:highlight w:val="none"/>
              </w:rPr>
            </w:pPr>
            <w:r>
              <w:rPr>
                <w:rFonts w:hint="eastAsia" w:ascii="宋体" w:hAnsi="宋体"/>
                <w:color w:val="auto"/>
                <w:sz w:val="24"/>
                <w:szCs w:val="24"/>
                <w:highlight w:val="none"/>
              </w:rPr>
              <w:t>买方:</w:t>
            </w:r>
          </w:p>
        </w:tc>
        <w:tc>
          <w:tcPr>
            <w:tcW w:w="5747" w:type="dxa"/>
            <w:tcBorders>
              <w:top w:val="nil"/>
              <w:left w:val="nil"/>
              <w:bottom w:val="nil"/>
              <w:right w:val="nil"/>
            </w:tcBorders>
            <w:noWrap/>
            <w:tcMar>
              <w:top w:w="15" w:type="dxa"/>
              <w:left w:w="15" w:type="dxa"/>
              <w:bottom w:w="0" w:type="dxa"/>
              <w:right w:w="15" w:type="dxa"/>
            </w:tcMar>
            <w:vAlign w:val="bottom"/>
          </w:tcPr>
          <w:p w14:paraId="38BA4135">
            <w:pPr>
              <w:rPr>
                <w:rFonts w:ascii="宋体" w:hAnsi="宋体" w:cs="宋体"/>
                <w:color w:val="auto"/>
                <w:sz w:val="24"/>
                <w:szCs w:val="24"/>
                <w:highlight w:val="none"/>
              </w:rPr>
            </w:pPr>
          </w:p>
        </w:tc>
      </w:tr>
      <w:tr w14:paraId="5EA855F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9C9581C">
            <w:pPr>
              <w:rPr>
                <w:rFonts w:ascii="宋体" w:hAnsi="宋体" w:cs="宋体"/>
                <w:color w:val="auto"/>
                <w:sz w:val="24"/>
                <w:szCs w:val="24"/>
                <w:highlight w:val="none"/>
              </w:rPr>
            </w:pPr>
            <w:r>
              <w:rPr>
                <w:rFonts w:hint="eastAsia" w:ascii="宋体" w:hAnsi="宋体"/>
                <w:color w:val="auto"/>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2598C138">
            <w:pPr>
              <w:rPr>
                <w:rFonts w:ascii="宋体" w:hAnsi="宋体" w:cs="宋体"/>
                <w:color w:val="auto"/>
                <w:sz w:val="24"/>
                <w:szCs w:val="24"/>
                <w:highlight w:val="none"/>
              </w:rPr>
            </w:pPr>
          </w:p>
        </w:tc>
      </w:tr>
      <w:tr w14:paraId="24E9E65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D7630B3">
            <w:pPr>
              <w:rPr>
                <w:rFonts w:ascii="宋体" w:hAnsi="宋体" w:cs="宋体"/>
                <w:color w:val="auto"/>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78C69903">
            <w:pPr>
              <w:rPr>
                <w:rFonts w:ascii="宋体" w:hAnsi="宋体" w:cs="宋体"/>
                <w:color w:val="auto"/>
                <w:sz w:val="24"/>
                <w:szCs w:val="24"/>
                <w:highlight w:val="none"/>
              </w:rPr>
            </w:pPr>
          </w:p>
        </w:tc>
      </w:tr>
      <w:tr w14:paraId="7B8B591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6D04A25">
            <w:pPr>
              <w:rPr>
                <w:rFonts w:ascii="宋体" w:hAnsi="宋体" w:cs="宋体"/>
                <w:color w:val="auto"/>
                <w:sz w:val="24"/>
                <w:szCs w:val="24"/>
                <w:highlight w:val="none"/>
              </w:rPr>
            </w:pPr>
            <w:r>
              <w:rPr>
                <w:rFonts w:hint="eastAsia" w:ascii="宋体" w:hAnsi="宋体"/>
                <w:color w:val="auto"/>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02D774EA">
            <w:pPr>
              <w:rPr>
                <w:rFonts w:ascii="宋体" w:hAnsi="宋体"/>
                <w:color w:val="auto"/>
                <w:sz w:val="24"/>
                <w:szCs w:val="24"/>
                <w:highlight w:val="none"/>
              </w:rPr>
            </w:pPr>
          </w:p>
        </w:tc>
      </w:tr>
      <w:tr w14:paraId="6BD04EBF">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692DFCD">
            <w:pPr>
              <w:rPr>
                <w:rFonts w:ascii="宋体" w:hAnsi="宋体" w:cs="宋体"/>
                <w:color w:val="auto"/>
                <w:sz w:val="24"/>
                <w:szCs w:val="24"/>
                <w:highlight w:val="none"/>
              </w:rPr>
            </w:pPr>
            <w:r>
              <w:rPr>
                <w:rFonts w:hint="eastAsia" w:ascii="宋体" w:hAnsi="宋体"/>
                <w:color w:val="auto"/>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31727120">
            <w:pPr>
              <w:rPr>
                <w:rFonts w:ascii="宋体" w:hAnsi="宋体" w:cs="宋体"/>
                <w:color w:val="auto"/>
                <w:sz w:val="24"/>
                <w:szCs w:val="24"/>
                <w:highlight w:val="none"/>
              </w:rPr>
            </w:pPr>
          </w:p>
        </w:tc>
      </w:tr>
      <w:tr w14:paraId="589AAF9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EAA4F2E">
            <w:pPr>
              <w:rPr>
                <w:rFonts w:ascii="宋体" w:hAnsi="宋体" w:cs="宋体"/>
                <w:color w:val="auto"/>
                <w:sz w:val="24"/>
                <w:szCs w:val="24"/>
                <w:highlight w:val="none"/>
              </w:rPr>
            </w:pPr>
            <w:r>
              <w:rPr>
                <w:rFonts w:hint="eastAsia" w:ascii="宋体" w:hAnsi="宋体"/>
                <w:color w:val="auto"/>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015FE517">
            <w:pPr>
              <w:rPr>
                <w:rFonts w:ascii="宋体" w:hAnsi="宋体" w:cs="宋体"/>
                <w:color w:val="auto"/>
                <w:sz w:val="24"/>
                <w:szCs w:val="24"/>
                <w:highlight w:val="none"/>
              </w:rPr>
            </w:pPr>
          </w:p>
        </w:tc>
      </w:tr>
      <w:tr w14:paraId="6027CEA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3E9E7E9">
            <w:pPr>
              <w:rPr>
                <w:rFonts w:ascii="宋体" w:hAnsi="宋体" w:cs="宋体"/>
                <w:color w:val="auto"/>
                <w:sz w:val="24"/>
                <w:szCs w:val="24"/>
                <w:highlight w:val="none"/>
              </w:rPr>
            </w:pPr>
            <w:r>
              <w:rPr>
                <w:rFonts w:hint="eastAsia" w:ascii="宋体" w:hAnsi="宋体"/>
                <w:color w:val="auto"/>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23E2C7EC">
            <w:pPr>
              <w:rPr>
                <w:rFonts w:ascii="宋体" w:hAnsi="宋体" w:cs="宋体"/>
                <w:color w:val="auto"/>
                <w:sz w:val="24"/>
                <w:szCs w:val="24"/>
                <w:highlight w:val="none"/>
              </w:rPr>
            </w:pPr>
          </w:p>
        </w:tc>
      </w:tr>
      <w:tr w14:paraId="6402E24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0734546">
            <w:pPr>
              <w:rPr>
                <w:rFonts w:ascii="宋体" w:hAnsi="宋体" w:cs="宋体"/>
                <w:color w:val="auto"/>
                <w:sz w:val="24"/>
                <w:szCs w:val="24"/>
                <w:highlight w:val="none"/>
              </w:rPr>
            </w:pPr>
            <w:r>
              <w:rPr>
                <w:rFonts w:hint="eastAsia" w:ascii="宋体" w:hAnsi="宋体"/>
                <w:color w:val="auto"/>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7B1A6964">
            <w:pPr>
              <w:rPr>
                <w:rFonts w:ascii="宋体" w:hAnsi="宋体" w:cs="宋体"/>
                <w:color w:val="auto"/>
                <w:sz w:val="24"/>
                <w:szCs w:val="24"/>
                <w:highlight w:val="none"/>
              </w:rPr>
            </w:pPr>
          </w:p>
        </w:tc>
      </w:tr>
      <w:tr w14:paraId="5A42891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D7B56E0">
            <w:pPr>
              <w:rPr>
                <w:rFonts w:ascii="宋体" w:hAnsi="宋体" w:cs="宋体"/>
                <w:color w:val="auto"/>
                <w:sz w:val="24"/>
                <w:szCs w:val="24"/>
                <w:highlight w:val="none"/>
              </w:rPr>
            </w:pPr>
            <w:r>
              <w:rPr>
                <w:rFonts w:hint="eastAsia" w:ascii="宋体" w:hAnsi="宋体"/>
                <w:color w:val="auto"/>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31BFACD9">
            <w:pPr>
              <w:rPr>
                <w:rFonts w:ascii="宋体" w:hAnsi="宋体"/>
                <w:color w:val="auto"/>
                <w:sz w:val="24"/>
                <w:szCs w:val="24"/>
                <w:highlight w:val="none"/>
              </w:rPr>
            </w:pPr>
          </w:p>
        </w:tc>
      </w:tr>
      <w:tr w14:paraId="595A63E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77B8AE1">
            <w:pPr>
              <w:rPr>
                <w:rFonts w:ascii="宋体" w:hAnsi="宋体" w:cs="宋体"/>
                <w:color w:val="auto"/>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3AF1A505">
            <w:pPr>
              <w:rPr>
                <w:rFonts w:ascii="宋体" w:hAnsi="宋体" w:cs="宋体"/>
                <w:color w:val="auto"/>
                <w:sz w:val="24"/>
                <w:szCs w:val="24"/>
                <w:highlight w:val="none"/>
              </w:rPr>
            </w:pPr>
          </w:p>
        </w:tc>
      </w:tr>
      <w:tr w14:paraId="2E86D90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6DB5DF8">
            <w:pPr>
              <w:rPr>
                <w:rFonts w:ascii="宋体" w:hAnsi="宋体" w:cs="宋体"/>
                <w:color w:val="auto"/>
                <w:sz w:val="24"/>
                <w:szCs w:val="24"/>
                <w:highlight w:val="none"/>
              </w:rPr>
            </w:pPr>
            <w:r>
              <w:rPr>
                <w:rFonts w:hint="eastAsia" w:ascii="宋体" w:hAnsi="宋体"/>
                <w:color w:val="auto"/>
                <w:sz w:val="24"/>
                <w:szCs w:val="24"/>
                <w:highlight w:val="none"/>
              </w:rPr>
              <w:t>卖方:</w:t>
            </w:r>
          </w:p>
        </w:tc>
        <w:tc>
          <w:tcPr>
            <w:tcW w:w="5747" w:type="dxa"/>
            <w:tcBorders>
              <w:top w:val="nil"/>
              <w:left w:val="nil"/>
              <w:bottom w:val="nil"/>
              <w:right w:val="nil"/>
            </w:tcBorders>
            <w:noWrap/>
            <w:tcMar>
              <w:top w:w="15" w:type="dxa"/>
              <w:left w:w="15" w:type="dxa"/>
              <w:bottom w:w="0" w:type="dxa"/>
              <w:right w:w="15" w:type="dxa"/>
            </w:tcMar>
            <w:vAlign w:val="bottom"/>
          </w:tcPr>
          <w:p w14:paraId="7B95E77E">
            <w:pPr>
              <w:rPr>
                <w:rFonts w:ascii="宋体" w:hAnsi="宋体" w:cs="宋体"/>
                <w:color w:val="auto"/>
                <w:sz w:val="24"/>
                <w:szCs w:val="24"/>
                <w:highlight w:val="none"/>
              </w:rPr>
            </w:pPr>
          </w:p>
        </w:tc>
      </w:tr>
      <w:tr w14:paraId="605F063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0FF6727">
            <w:pPr>
              <w:rPr>
                <w:rFonts w:ascii="宋体" w:hAnsi="宋体" w:cs="宋体"/>
                <w:color w:val="auto"/>
                <w:sz w:val="24"/>
                <w:szCs w:val="24"/>
                <w:highlight w:val="none"/>
              </w:rPr>
            </w:pPr>
            <w:r>
              <w:rPr>
                <w:rFonts w:hint="eastAsia" w:ascii="宋体" w:hAnsi="宋体"/>
                <w:color w:val="auto"/>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4CCBDC47">
            <w:pPr>
              <w:rPr>
                <w:rFonts w:ascii="宋体" w:hAnsi="宋体" w:cs="宋体"/>
                <w:color w:val="auto"/>
                <w:sz w:val="24"/>
                <w:szCs w:val="24"/>
                <w:highlight w:val="none"/>
              </w:rPr>
            </w:pPr>
          </w:p>
        </w:tc>
      </w:tr>
      <w:tr w14:paraId="70D2693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A06E94F">
            <w:pPr>
              <w:rPr>
                <w:rFonts w:ascii="宋体" w:hAnsi="宋体" w:cs="宋体"/>
                <w:color w:val="auto"/>
                <w:sz w:val="24"/>
                <w:szCs w:val="24"/>
                <w:highlight w:val="none"/>
              </w:rPr>
            </w:pPr>
            <w:r>
              <w:rPr>
                <w:rFonts w:hint="eastAsia" w:ascii="宋体" w:hAnsi="宋体"/>
                <w:color w:val="auto"/>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03E248FD">
            <w:pPr>
              <w:rPr>
                <w:rFonts w:ascii="宋体" w:hAnsi="宋体"/>
                <w:color w:val="auto"/>
                <w:sz w:val="24"/>
                <w:szCs w:val="24"/>
                <w:highlight w:val="none"/>
              </w:rPr>
            </w:pPr>
          </w:p>
        </w:tc>
      </w:tr>
      <w:tr w14:paraId="5D7B913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2149FF8">
            <w:pPr>
              <w:rPr>
                <w:rFonts w:ascii="宋体" w:hAnsi="宋体" w:cs="宋体"/>
                <w:color w:val="auto"/>
                <w:sz w:val="24"/>
                <w:szCs w:val="24"/>
                <w:highlight w:val="none"/>
              </w:rPr>
            </w:pPr>
            <w:r>
              <w:rPr>
                <w:rFonts w:hint="eastAsia" w:ascii="宋体" w:hAnsi="宋体"/>
                <w:color w:val="auto"/>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38D66F12">
            <w:pPr>
              <w:rPr>
                <w:rFonts w:ascii="宋体" w:hAnsi="宋体"/>
                <w:color w:val="auto"/>
                <w:sz w:val="24"/>
                <w:szCs w:val="24"/>
                <w:highlight w:val="none"/>
              </w:rPr>
            </w:pPr>
          </w:p>
        </w:tc>
      </w:tr>
      <w:tr w14:paraId="3E3E63A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2897CF3">
            <w:pPr>
              <w:rPr>
                <w:rFonts w:ascii="宋体" w:hAnsi="宋体" w:cs="宋体"/>
                <w:color w:val="auto"/>
                <w:sz w:val="24"/>
                <w:szCs w:val="24"/>
                <w:highlight w:val="none"/>
              </w:rPr>
            </w:pPr>
            <w:r>
              <w:rPr>
                <w:rFonts w:hint="eastAsia" w:ascii="宋体" w:hAnsi="宋体"/>
                <w:color w:val="auto"/>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55680353">
            <w:pPr>
              <w:rPr>
                <w:rFonts w:ascii="宋体" w:hAnsi="宋体"/>
                <w:color w:val="auto"/>
                <w:sz w:val="24"/>
                <w:szCs w:val="24"/>
                <w:highlight w:val="none"/>
              </w:rPr>
            </w:pPr>
          </w:p>
        </w:tc>
      </w:tr>
      <w:tr w14:paraId="065B2BB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6D3EC14">
            <w:pPr>
              <w:rPr>
                <w:rFonts w:ascii="宋体" w:hAnsi="宋体" w:cs="宋体"/>
                <w:color w:val="auto"/>
                <w:sz w:val="24"/>
                <w:szCs w:val="24"/>
                <w:highlight w:val="none"/>
              </w:rPr>
            </w:pPr>
            <w:r>
              <w:rPr>
                <w:rFonts w:hint="eastAsia" w:ascii="宋体" w:hAnsi="宋体"/>
                <w:color w:val="auto"/>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32E54EC7">
            <w:pPr>
              <w:rPr>
                <w:rFonts w:ascii="宋体" w:hAnsi="宋体" w:cs="宋体"/>
                <w:color w:val="auto"/>
                <w:sz w:val="24"/>
                <w:szCs w:val="24"/>
                <w:highlight w:val="none"/>
              </w:rPr>
            </w:pPr>
          </w:p>
        </w:tc>
      </w:tr>
      <w:tr w14:paraId="565AB86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96B516A">
            <w:pPr>
              <w:rPr>
                <w:rFonts w:ascii="宋体" w:hAnsi="宋体" w:cs="宋体"/>
                <w:color w:val="auto"/>
                <w:sz w:val="24"/>
                <w:szCs w:val="24"/>
                <w:highlight w:val="none"/>
              </w:rPr>
            </w:pPr>
            <w:r>
              <w:rPr>
                <w:rFonts w:hint="eastAsia" w:ascii="宋体" w:hAnsi="宋体"/>
                <w:color w:val="auto"/>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02472189">
            <w:pPr>
              <w:rPr>
                <w:rFonts w:ascii="宋体" w:hAnsi="宋体" w:cs="宋体"/>
                <w:color w:val="auto"/>
                <w:sz w:val="24"/>
                <w:szCs w:val="24"/>
                <w:highlight w:val="none"/>
              </w:rPr>
            </w:pPr>
          </w:p>
        </w:tc>
      </w:tr>
      <w:tr w14:paraId="3DFA2E0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89EE009">
            <w:pPr>
              <w:rPr>
                <w:rFonts w:ascii="宋体" w:hAnsi="宋体" w:cs="宋体"/>
                <w:color w:val="auto"/>
                <w:sz w:val="24"/>
                <w:szCs w:val="24"/>
                <w:highlight w:val="none"/>
              </w:rPr>
            </w:pPr>
            <w:r>
              <w:rPr>
                <w:rFonts w:hint="eastAsia" w:ascii="宋体" w:hAnsi="宋体"/>
                <w:color w:val="auto"/>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6D45DDDF">
            <w:pPr>
              <w:rPr>
                <w:rFonts w:ascii="宋体" w:hAnsi="宋体"/>
                <w:color w:val="auto"/>
                <w:sz w:val="24"/>
                <w:szCs w:val="24"/>
                <w:highlight w:val="none"/>
              </w:rPr>
            </w:pPr>
          </w:p>
        </w:tc>
      </w:tr>
      <w:tr w14:paraId="018BD60B">
        <w:tblPrEx>
          <w:tblCellMar>
            <w:top w:w="0" w:type="dxa"/>
            <w:left w:w="0" w:type="dxa"/>
            <w:bottom w:w="0" w:type="dxa"/>
            <w:right w:w="0" w:type="dxa"/>
          </w:tblCellMar>
        </w:tblPrEx>
        <w:trPr>
          <w:trHeight w:val="1166" w:hRule="atLeast"/>
        </w:trPr>
        <w:tc>
          <w:tcPr>
            <w:tcW w:w="8295" w:type="dxa"/>
            <w:gridSpan w:val="2"/>
            <w:tcBorders>
              <w:top w:val="nil"/>
              <w:left w:val="nil"/>
              <w:bottom w:val="nil"/>
              <w:right w:val="nil"/>
            </w:tcBorders>
            <w:noWrap w:val="0"/>
            <w:tcMar>
              <w:top w:w="15" w:type="dxa"/>
              <w:left w:w="15" w:type="dxa"/>
              <w:bottom w:w="0" w:type="dxa"/>
              <w:right w:w="15" w:type="dxa"/>
            </w:tcMar>
            <w:vAlign w:val="bottom"/>
          </w:tcPr>
          <w:p w14:paraId="552A2A36">
            <w:pPr>
              <w:ind w:firstLine="480" w:firstLineChars="200"/>
              <w:jc w:val="left"/>
              <w:rPr>
                <w:rFonts w:ascii="宋体" w:hAnsi="宋体" w:cs="宋体"/>
                <w:color w:val="auto"/>
                <w:sz w:val="24"/>
                <w:szCs w:val="24"/>
                <w:highlight w:val="none"/>
              </w:rPr>
            </w:pPr>
            <w:r>
              <w:rPr>
                <w:rFonts w:hint="eastAsia"/>
                <w:color w:val="auto"/>
                <w:sz w:val="24"/>
                <w:szCs w:val="24"/>
                <w:highlight w:val="none"/>
              </w:rPr>
              <w:t>本合同依据</w:t>
            </w:r>
            <w:r>
              <w:rPr>
                <w:rFonts w:hint="eastAsia" w:eastAsia="宋体"/>
                <w:color w:val="auto"/>
                <w:sz w:val="24"/>
                <w:szCs w:val="24"/>
                <w:highlight w:val="none"/>
                <w:lang w:eastAsia="zh-CN"/>
              </w:rPr>
              <w:t>陕西慧科工程管理咨询有限公司</w:t>
            </w:r>
            <w:r>
              <w:rPr>
                <w:rFonts w:hint="eastAsia"/>
                <w:color w:val="auto"/>
                <w:sz w:val="24"/>
                <w:szCs w:val="24"/>
                <w:highlight w:val="none"/>
              </w:rPr>
              <w:t>代理的政府采购项目（项目名称）</w:t>
            </w:r>
            <w:r>
              <w:rPr>
                <w:rFonts w:hint="eastAsia" w:eastAsia="宋体"/>
                <w:color w:val="auto"/>
                <w:sz w:val="24"/>
                <w:szCs w:val="24"/>
                <w:highlight w:val="none"/>
                <w:lang w:eastAsia="zh-CN"/>
              </w:rPr>
              <w:t>竞争性磋商</w:t>
            </w:r>
            <w:r>
              <w:rPr>
                <w:rFonts w:hint="eastAsia"/>
                <w:color w:val="auto"/>
                <w:sz w:val="24"/>
                <w:szCs w:val="24"/>
                <w:highlight w:val="none"/>
              </w:rPr>
              <w:t>（项目编号            ）的结果而签订。</w:t>
            </w:r>
          </w:p>
        </w:tc>
      </w:tr>
    </w:tbl>
    <w:p w14:paraId="47D4A48A">
      <w:pPr>
        <w:spacing w:line="360" w:lineRule="auto"/>
        <w:jc w:val="center"/>
        <w:rPr>
          <w:rFonts w:ascii="宋体" w:hAnsi="宋体"/>
          <w:b/>
          <w:color w:val="auto"/>
          <w:sz w:val="36"/>
          <w:szCs w:val="36"/>
          <w:highlight w:val="none"/>
        </w:rPr>
      </w:pPr>
      <w:r>
        <w:rPr>
          <w:rFonts w:ascii="宋体" w:hAnsi="宋体"/>
          <w:b/>
          <w:color w:val="auto"/>
          <w:sz w:val="36"/>
          <w:szCs w:val="36"/>
          <w:highlight w:val="none"/>
        </w:rPr>
        <w:t xml:space="preserve"> </w:t>
      </w:r>
    </w:p>
    <w:p w14:paraId="6C15F10A">
      <w:pPr>
        <w:spacing w:line="360" w:lineRule="auto"/>
        <w:rPr>
          <w:rFonts w:hint="eastAsia" w:ascii="宋体" w:hAnsi="宋体"/>
          <w:color w:val="auto"/>
          <w:sz w:val="30"/>
          <w:szCs w:val="30"/>
          <w:highlight w:val="none"/>
        </w:rPr>
      </w:pPr>
      <w:r>
        <w:rPr>
          <w:rFonts w:ascii="宋体" w:hAnsi="宋体"/>
          <w:b/>
          <w:color w:val="auto"/>
          <w:sz w:val="36"/>
          <w:szCs w:val="36"/>
          <w:highlight w:val="none"/>
        </w:rPr>
        <w:br w:type="page"/>
      </w:r>
      <w:r>
        <w:rPr>
          <w:rFonts w:hint="eastAsia" w:ascii="宋体" w:hAnsi="宋体"/>
          <w:color w:val="auto"/>
          <w:sz w:val="30"/>
          <w:szCs w:val="30"/>
          <w:highlight w:val="none"/>
        </w:rPr>
        <w:t>2、</w:t>
      </w:r>
      <w:r>
        <w:rPr>
          <w:rFonts w:hint="eastAsia" w:ascii="宋体" w:hAnsi="宋体"/>
          <w:color w:val="auto"/>
          <w:sz w:val="28"/>
          <w:szCs w:val="28"/>
          <w:highlight w:val="none"/>
        </w:rPr>
        <w:t>合同协议书格式</w:t>
      </w:r>
    </w:p>
    <w:p w14:paraId="629E2261">
      <w:pPr>
        <w:spacing w:after="156" w:afterLines="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 </w:t>
      </w:r>
    </w:p>
    <w:p w14:paraId="3696694F">
      <w:pPr>
        <w:spacing w:after="156" w:afterLines="50" w:line="360" w:lineRule="auto"/>
        <w:ind w:firstLine="420" w:firstLineChars="200"/>
        <w:rPr>
          <w:rFonts w:hint="eastAsia" w:ascii="宋体" w:hAnsi="宋体"/>
          <w:color w:val="auto"/>
          <w:sz w:val="24"/>
          <w:szCs w:val="24"/>
          <w:highlight w:val="none"/>
        </w:rPr>
      </w:pPr>
      <w:r>
        <w:rPr>
          <w:rFonts w:hint="eastAsia" w:ascii="宋体" w:hAnsi="宋体"/>
          <w:color w:val="auto"/>
          <w:szCs w:val="21"/>
          <w:highlight w:val="none"/>
        </w:rPr>
        <w:t xml:space="preserve"> </w:t>
      </w:r>
      <w:r>
        <w:rPr>
          <w:rFonts w:hint="eastAsia" w:ascii="宋体" w:hAnsi="宋体"/>
          <w:color w:val="auto"/>
          <w:sz w:val="24"/>
          <w:szCs w:val="24"/>
          <w:highlight w:val="none"/>
        </w:rPr>
        <w:t>本合同于</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年</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月</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日由</w:t>
      </w:r>
      <w:r>
        <w:rPr>
          <w:rFonts w:hint="eastAsia" w:ascii="宋体" w:hAnsi="宋体"/>
          <w:color w:val="auto"/>
          <w:sz w:val="24"/>
          <w:szCs w:val="24"/>
          <w:highlight w:val="none"/>
          <w:u w:val="single"/>
        </w:rPr>
        <w:t>（</w:t>
      </w:r>
      <w:r>
        <w:rPr>
          <w:rFonts w:hint="eastAsia" w:ascii="宋体" w:hAnsi="宋体"/>
          <w:color w:val="auto"/>
          <w:sz w:val="24"/>
          <w:szCs w:val="24"/>
          <w:highlight w:val="none"/>
          <w:u w:val="single"/>
          <w:lang w:eastAsia="zh-CN"/>
        </w:rPr>
        <w:t>买</w:t>
      </w:r>
      <w:r>
        <w:rPr>
          <w:rFonts w:hint="eastAsia" w:ascii="宋体" w:hAnsi="宋体"/>
          <w:color w:val="auto"/>
          <w:sz w:val="24"/>
          <w:szCs w:val="24"/>
          <w:highlight w:val="none"/>
          <w:u w:val="single"/>
        </w:rPr>
        <w:t>方名称）</w:t>
      </w:r>
      <w:r>
        <w:rPr>
          <w:rFonts w:hint="eastAsia" w:ascii="宋体" w:hAnsi="宋体"/>
          <w:color w:val="auto"/>
          <w:sz w:val="24"/>
          <w:szCs w:val="24"/>
          <w:highlight w:val="none"/>
        </w:rPr>
        <w:t>（以下简称“</w:t>
      </w:r>
      <w:r>
        <w:rPr>
          <w:rFonts w:hint="eastAsia" w:ascii="宋体" w:hAnsi="宋体"/>
          <w:color w:val="auto"/>
          <w:sz w:val="24"/>
          <w:szCs w:val="24"/>
          <w:highlight w:val="none"/>
          <w:lang w:eastAsia="zh-CN"/>
        </w:rPr>
        <w:t>买</w:t>
      </w:r>
      <w:r>
        <w:rPr>
          <w:rFonts w:hint="eastAsia" w:ascii="宋体" w:hAnsi="宋体"/>
          <w:color w:val="auto"/>
          <w:sz w:val="24"/>
          <w:szCs w:val="24"/>
          <w:highlight w:val="none"/>
        </w:rPr>
        <w:t>方”）和</w:t>
      </w:r>
      <w:r>
        <w:rPr>
          <w:rFonts w:hint="eastAsia" w:ascii="宋体" w:hAnsi="宋体"/>
          <w:color w:val="auto"/>
          <w:sz w:val="24"/>
          <w:szCs w:val="24"/>
          <w:highlight w:val="none"/>
          <w:u w:val="single"/>
        </w:rPr>
        <w:t>（</w:t>
      </w:r>
      <w:r>
        <w:rPr>
          <w:rFonts w:hint="eastAsia" w:ascii="宋体" w:hAnsi="宋体"/>
          <w:color w:val="auto"/>
          <w:sz w:val="24"/>
          <w:szCs w:val="24"/>
          <w:highlight w:val="none"/>
          <w:u w:val="single"/>
          <w:lang w:eastAsia="zh-CN"/>
        </w:rPr>
        <w:t>卖</w:t>
      </w:r>
      <w:r>
        <w:rPr>
          <w:rFonts w:hint="eastAsia" w:ascii="宋体" w:hAnsi="宋体"/>
          <w:color w:val="auto"/>
          <w:sz w:val="24"/>
          <w:szCs w:val="24"/>
          <w:highlight w:val="none"/>
          <w:u w:val="single"/>
        </w:rPr>
        <w:t>方名称）</w:t>
      </w:r>
      <w:r>
        <w:rPr>
          <w:rFonts w:hint="eastAsia" w:ascii="宋体" w:hAnsi="宋体"/>
          <w:color w:val="auto"/>
          <w:sz w:val="24"/>
          <w:szCs w:val="24"/>
          <w:highlight w:val="none"/>
        </w:rPr>
        <w:t>（以下简称“</w:t>
      </w:r>
      <w:r>
        <w:rPr>
          <w:rFonts w:hint="eastAsia" w:ascii="宋体" w:hAnsi="宋体"/>
          <w:color w:val="auto"/>
          <w:sz w:val="24"/>
          <w:szCs w:val="24"/>
          <w:highlight w:val="none"/>
          <w:lang w:eastAsia="zh-CN"/>
        </w:rPr>
        <w:t>卖</w:t>
      </w:r>
      <w:r>
        <w:rPr>
          <w:rFonts w:hint="eastAsia" w:ascii="宋体" w:hAnsi="宋体"/>
          <w:color w:val="auto"/>
          <w:sz w:val="24"/>
          <w:szCs w:val="24"/>
          <w:highlight w:val="none"/>
        </w:rPr>
        <w:t>方”）按下述条款和条件签署。</w:t>
      </w:r>
    </w:p>
    <w:p w14:paraId="46141A4D">
      <w:pPr>
        <w:numPr>
          <w:ilvl w:val="2"/>
          <w:numId w:val="0"/>
        </w:numPr>
        <w:tabs>
          <w:tab w:val="left" w:pos="720"/>
        </w:tabs>
        <w:spacing w:after="156" w:afterLines="50" w:line="360" w:lineRule="auto"/>
        <w:ind w:left="720" w:leftChars="0" w:hanging="360" w:firstLineChars="0"/>
        <w:rPr>
          <w:rFonts w:hint="eastAsia" w:ascii="宋体" w:hAnsi="宋体"/>
          <w:color w:val="auto"/>
          <w:sz w:val="24"/>
          <w:szCs w:val="24"/>
          <w:highlight w:val="none"/>
        </w:rPr>
      </w:pPr>
      <w:r>
        <w:rPr>
          <w:rFonts w:hint="default" w:ascii="宋体" w:hAnsi="宋体"/>
          <w:color w:val="auto"/>
          <w:kern w:val="2"/>
          <w:sz w:val="24"/>
          <w:szCs w:val="24"/>
          <w:highlight w:val="none"/>
          <w:lang w:val="en-US" w:eastAsia="zh-CN" w:bidi="ar-SA"/>
        </w:rPr>
        <w:t>1.</w:t>
      </w:r>
      <w:r>
        <w:rPr>
          <w:rFonts w:hint="eastAsia" w:ascii="宋体" w:hAnsi="宋体"/>
          <w:color w:val="auto"/>
          <w:sz w:val="24"/>
          <w:szCs w:val="24"/>
          <w:highlight w:val="none"/>
        </w:rPr>
        <w:t>本合同中的词语和术语的含义与合同条款中定义的相同。</w:t>
      </w:r>
    </w:p>
    <w:p w14:paraId="07D6712D">
      <w:pPr>
        <w:numPr>
          <w:ilvl w:val="2"/>
          <w:numId w:val="0"/>
        </w:numPr>
        <w:tabs>
          <w:tab w:val="left" w:pos="720"/>
        </w:tabs>
        <w:spacing w:after="156" w:afterLines="50" w:line="360" w:lineRule="auto"/>
        <w:ind w:left="720" w:leftChars="0" w:hanging="360" w:firstLineChars="0"/>
        <w:rPr>
          <w:rFonts w:hint="eastAsia" w:ascii="宋体" w:hAnsi="宋体"/>
          <w:color w:val="auto"/>
          <w:sz w:val="24"/>
          <w:szCs w:val="24"/>
          <w:highlight w:val="none"/>
        </w:rPr>
      </w:pPr>
      <w:r>
        <w:rPr>
          <w:rFonts w:hint="default" w:ascii="宋体" w:hAnsi="宋体"/>
          <w:color w:val="auto"/>
          <w:kern w:val="2"/>
          <w:sz w:val="24"/>
          <w:szCs w:val="24"/>
          <w:highlight w:val="none"/>
          <w:lang w:val="en-US" w:eastAsia="zh-CN" w:bidi="ar-SA"/>
        </w:rPr>
        <w:t>2.</w:t>
      </w:r>
      <w:r>
        <w:rPr>
          <w:rFonts w:hint="eastAsia" w:ascii="宋体" w:hAnsi="宋体"/>
          <w:color w:val="auto"/>
          <w:sz w:val="24"/>
          <w:szCs w:val="24"/>
          <w:highlight w:val="none"/>
        </w:rPr>
        <w:t>下列文件是本合同的组成部分，并与本合同一起阅读和解释：</w:t>
      </w:r>
    </w:p>
    <w:p w14:paraId="0E0204A5">
      <w:pPr>
        <w:numPr>
          <w:ilvl w:val="0"/>
          <w:numId w:val="1"/>
        </w:numPr>
        <w:tabs>
          <w:tab w:val="left" w:pos="1080"/>
          <w:tab w:val="clear" w:pos="1680"/>
        </w:tabs>
        <w:spacing w:after="156" w:afterLines="50" w:line="360" w:lineRule="auto"/>
        <w:ind w:left="1080" w:hanging="360"/>
        <w:rPr>
          <w:rFonts w:hint="eastAsia" w:ascii="宋体" w:hAnsi="宋体"/>
          <w:color w:val="auto"/>
          <w:sz w:val="24"/>
          <w:szCs w:val="24"/>
          <w:highlight w:val="none"/>
        </w:rPr>
      </w:pPr>
      <w:r>
        <w:rPr>
          <w:rFonts w:hint="eastAsia" w:ascii="宋体" w:hAnsi="宋体"/>
          <w:color w:val="auto"/>
          <w:sz w:val="24"/>
          <w:szCs w:val="24"/>
          <w:highlight w:val="none"/>
        </w:rPr>
        <w:t>合同附件，如：</w:t>
      </w:r>
    </w:p>
    <w:p w14:paraId="5BEA818D">
      <w:pPr>
        <w:numPr>
          <w:ilvl w:val="1"/>
          <w:numId w:val="2"/>
        </w:numPr>
        <w:spacing w:after="156" w:afterLines="50" w:line="360" w:lineRule="auto"/>
        <w:rPr>
          <w:rFonts w:hint="eastAsia" w:ascii="宋体" w:hAnsi="宋体"/>
          <w:color w:val="auto"/>
          <w:sz w:val="24"/>
          <w:szCs w:val="24"/>
          <w:highlight w:val="none"/>
        </w:rPr>
      </w:pPr>
      <w:r>
        <w:rPr>
          <w:rFonts w:hint="eastAsia" w:ascii="宋体" w:hAnsi="宋体"/>
          <w:color w:val="auto"/>
          <w:sz w:val="24"/>
          <w:szCs w:val="24"/>
          <w:highlight w:val="none"/>
          <w:lang w:val="en-US" w:eastAsia="zh-CN"/>
        </w:rPr>
        <w:t>服务</w:t>
      </w:r>
      <w:r>
        <w:rPr>
          <w:rFonts w:hint="eastAsia" w:ascii="宋体" w:hAnsi="宋体"/>
          <w:color w:val="auto"/>
          <w:sz w:val="24"/>
          <w:szCs w:val="24"/>
          <w:highlight w:val="none"/>
        </w:rPr>
        <w:t>内容</w:t>
      </w:r>
      <w:r>
        <w:rPr>
          <w:rFonts w:hint="eastAsia" w:ascii="宋体" w:hAnsi="宋体"/>
          <w:color w:val="auto"/>
          <w:sz w:val="24"/>
          <w:szCs w:val="24"/>
          <w:highlight w:val="none"/>
          <w:lang w:eastAsia="zh-CN"/>
        </w:rPr>
        <w:t>及</w:t>
      </w:r>
      <w:r>
        <w:rPr>
          <w:rFonts w:hint="eastAsia" w:ascii="宋体" w:hAnsi="宋体"/>
          <w:color w:val="auto"/>
          <w:sz w:val="24"/>
          <w:szCs w:val="24"/>
          <w:highlight w:val="none"/>
        </w:rPr>
        <w:t>价格</w:t>
      </w:r>
    </w:p>
    <w:p w14:paraId="2FD9E0A2">
      <w:pPr>
        <w:numPr>
          <w:ilvl w:val="1"/>
          <w:numId w:val="2"/>
        </w:numPr>
        <w:spacing w:after="156" w:afterLines="50" w:line="360" w:lineRule="auto"/>
        <w:rPr>
          <w:rFonts w:hint="eastAsia" w:ascii="宋体" w:hAnsi="宋体"/>
          <w:color w:val="auto"/>
          <w:sz w:val="24"/>
          <w:szCs w:val="24"/>
          <w:highlight w:val="none"/>
        </w:rPr>
      </w:pPr>
      <w:r>
        <w:rPr>
          <w:rFonts w:hint="eastAsia" w:ascii="宋体" w:hAnsi="宋体"/>
          <w:color w:val="auto"/>
          <w:sz w:val="24"/>
          <w:szCs w:val="24"/>
          <w:highlight w:val="none"/>
          <w:lang w:val="en-US" w:eastAsia="zh-CN"/>
        </w:rPr>
        <w:t>服务标准、流程</w:t>
      </w:r>
    </w:p>
    <w:p w14:paraId="7ADDC430">
      <w:pPr>
        <w:numPr>
          <w:ilvl w:val="1"/>
          <w:numId w:val="2"/>
        </w:numPr>
        <w:spacing w:after="156" w:afterLines="50" w:line="360" w:lineRule="auto"/>
        <w:rPr>
          <w:rFonts w:hint="eastAsia" w:ascii="宋体" w:hAnsi="宋体"/>
          <w:color w:val="auto"/>
          <w:sz w:val="24"/>
          <w:szCs w:val="24"/>
          <w:highlight w:val="none"/>
        </w:rPr>
      </w:pPr>
      <w:r>
        <w:rPr>
          <w:rFonts w:hint="eastAsia" w:ascii="宋体" w:hAnsi="宋体"/>
          <w:color w:val="auto"/>
          <w:sz w:val="24"/>
          <w:szCs w:val="24"/>
          <w:highlight w:val="none"/>
          <w:lang w:eastAsia="zh-CN"/>
        </w:rPr>
        <w:t>开始和结束时间</w:t>
      </w:r>
    </w:p>
    <w:p w14:paraId="596CD60B">
      <w:pPr>
        <w:numPr>
          <w:ilvl w:val="0"/>
          <w:numId w:val="1"/>
        </w:numPr>
        <w:tabs>
          <w:tab w:val="left" w:pos="1080"/>
          <w:tab w:val="clear" w:pos="1680"/>
        </w:tabs>
        <w:spacing w:after="156" w:afterLines="50" w:line="360" w:lineRule="auto"/>
        <w:ind w:left="1080" w:hanging="360"/>
        <w:rPr>
          <w:rFonts w:hint="eastAsia" w:ascii="宋体" w:hAnsi="宋体"/>
          <w:color w:val="auto"/>
          <w:sz w:val="24"/>
          <w:szCs w:val="24"/>
          <w:highlight w:val="none"/>
        </w:rPr>
      </w:pPr>
      <w:r>
        <w:rPr>
          <w:rFonts w:hint="eastAsia" w:ascii="宋体" w:hAnsi="宋体"/>
          <w:color w:val="auto"/>
          <w:sz w:val="24"/>
          <w:szCs w:val="24"/>
          <w:highlight w:val="none"/>
        </w:rPr>
        <w:t>合同专用条款</w:t>
      </w:r>
    </w:p>
    <w:p w14:paraId="78436C33">
      <w:pPr>
        <w:numPr>
          <w:ilvl w:val="0"/>
          <w:numId w:val="1"/>
        </w:numPr>
        <w:tabs>
          <w:tab w:val="left" w:pos="1080"/>
          <w:tab w:val="clear" w:pos="1680"/>
        </w:tabs>
        <w:spacing w:after="156" w:afterLines="50" w:line="360" w:lineRule="auto"/>
        <w:ind w:left="1080" w:hanging="360"/>
        <w:rPr>
          <w:rFonts w:hint="eastAsia" w:ascii="宋体" w:hAnsi="宋体"/>
          <w:color w:val="auto"/>
          <w:sz w:val="24"/>
          <w:szCs w:val="24"/>
          <w:highlight w:val="none"/>
        </w:rPr>
      </w:pPr>
      <w:r>
        <w:rPr>
          <w:rFonts w:hint="eastAsia" w:ascii="宋体" w:hAnsi="宋体"/>
          <w:color w:val="auto"/>
          <w:sz w:val="24"/>
          <w:szCs w:val="24"/>
          <w:highlight w:val="none"/>
        </w:rPr>
        <w:t>合同通用条款</w:t>
      </w:r>
    </w:p>
    <w:p w14:paraId="2D481C96">
      <w:pPr>
        <w:numPr>
          <w:ilvl w:val="0"/>
          <w:numId w:val="1"/>
        </w:numPr>
        <w:tabs>
          <w:tab w:val="left" w:pos="1080"/>
          <w:tab w:val="clear" w:pos="1680"/>
        </w:tabs>
        <w:spacing w:after="156" w:afterLines="50" w:line="360" w:lineRule="auto"/>
        <w:ind w:left="1080" w:hanging="360"/>
        <w:rPr>
          <w:rFonts w:hint="eastAsia" w:ascii="宋体" w:hAnsi="宋体"/>
          <w:color w:val="auto"/>
          <w:sz w:val="24"/>
          <w:szCs w:val="24"/>
          <w:highlight w:val="none"/>
        </w:rPr>
      </w:pPr>
      <w:r>
        <w:rPr>
          <w:rFonts w:hint="eastAsia" w:ascii="宋体" w:hAnsi="宋体" w:eastAsia="宋体"/>
          <w:color w:val="auto"/>
          <w:sz w:val="24"/>
          <w:szCs w:val="24"/>
          <w:highlight w:val="none"/>
          <w:lang w:eastAsia="zh-CN"/>
        </w:rPr>
        <w:t>成交</w:t>
      </w:r>
      <w:r>
        <w:rPr>
          <w:rFonts w:hint="eastAsia" w:ascii="宋体" w:hAnsi="宋体"/>
          <w:color w:val="auto"/>
          <w:sz w:val="24"/>
          <w:szCs w:val="24"/>
          <w:highlight w:val="none"/>
        </w:rPr>
        <w:t>通知书</w:t>
      </w:r>
    </w:p>
    <w:p w14:paraId="0703AFB8">
      <w:pPr>
        <w:numPr>
          <w:ilvl w:val="0"/>
          <w:numId w:val="1"/>
        </w:numPr>
        <w:tabs>
          <w:tab w:val="left" w:pos="1080"/>
          <w:tab w:val="clear" w:pos="1680"/>
        </w:tabs>
        <w:spacing w:after="156" w:afterLines="50" w:line="360" w:lineRule="auto"/>
        <w:ind w:left="1080" w:hanging="360"/>
        <w:rPr>
          <w:rFonts w:hint="eastAsia" w:ascii="宋体" w:hAnsi="宋体"/>
          <w:color w:val="auto"/>
          <w:sz w:val="24"/>
          <w:szCs w:val="24"/>
          <w:highlight w:val="none"/>
        </w:rPr>
      </w:pPr>
      <w:r>
        <w:rPr>
          <w:rFonts w:hint="eastAsia" w:ascii="宋体" w:hAnsi="宋体" w:eastAsia="宋体"/>
          <w:color w:val="auto"/>
          <w:sz w:val="24"/>
          <w:szCs w:val="24"/>
          <w:highlight w:val="none"/>
          <w:lang w:eastAsia="zh-CN"/>
        </w:rPr>
        <w:t>响应</w:t>
      </w:r>
      <w:r>
        <w:rPr>
          <w:rFonts w:hint="eastAsia" w:ascii="宋体" w:hAnsi="宋体"/>
          <w:color w:val="auto"/>
          <w:sz w:val="24"/>
          <w:szCs w:val="24"/>
          <w:highlight w:val="none"/>
        </w:rPr>
        <w:t>文件</w:t>
      </w:r>
    </w:p>
    <w:p w14:paraId="3FA30567">
      <w:pPr>
        <w:numPr>
          <w:ilvl w:val="0"/>
          <w:numId w:val="1"/>
        </w:numPr>
        <w:tabs>
          <w:tab w:val="left" w:pos="1080"/>
          <w:tab w:val="clear" w:pos="1680"/>
        </w:tabs>
        <w:spacing w:after="156" w:afterLines="50" w:line="360" w:lineRule="auto"/>
        <w:ind w:left="1080" w:hanging="360"/>
        <w:rPr>
          <w:rFonts w:hint="eastAsia" w:ascii="宋体" w:hAnsi="宋体"/>
          <w:color w:val="auto"/>
          <w:sz w:val="24"/>
          <w:szCs w:val="24"/>
          <w:highlight w:val="none"/>
        </w:rPr>
      </w:pPr>
      <w:r>
        <w:rPr>
          <w:rFonts w:hint="eastAsia" w:ascii="宋体" w:hAnsi="宋体" w:eastAsia="宋体"/>
          <w:color w:val="auto"/>
          <w:sz w:val="24"/>
          <w:szCs w:val="24"/>
          <w:highlight w:val="none"/>
          <w:lang w:eastAsia="zh-CN"/>
        </w:rPr>
        <w:t>磋商</w:t>
      </w:r>
      <w:r>
        <w:rPr>
          <w:rFonts w:hint="eastAsia" w:ascii="宋体" w:hAnsi="宋体"/>
          <w:color w:val="auto"/>
          <w:sz w:val="24"/>
          <w:szCs w:val="24"/>
          <w:highlight w:val="none"/>
        </w:rPr>
        <w:t>文件</w:t>
      </w:r>
    </w:p>
    <w:p w14:paraId="438E7D53">
      <w:pPr>
        <w:spacing w:after="156" w:afterLines="50" w:line="360" w:lineRule="auto"/>
        <w:ind w:left="720"/>
        <w:rPr>
          <w:rFonts w:hint="eastAsia" w:ascii="宋体" w:hAnsi="宋体"/>
          <w:color w:val="auto"/>
          <w:sz w:val="24"/>
          <w:szCs w:val="24"/>
          <w:highlight w:val="none"/>
        </w:rPr>
      </w:pPr>
      <w:r>
        <w:rPr>
          <w:rFonts w:hint="eastAsia" w:ascii="宋体" w:hAnsi="宋体"/>
          <w:color w:val="auto"/>
          <w:sz w:val="24"/>
          <w:szCs w:val="24"/>
          <w:highlight w:val="none"/>
        </w:rPr>
        <w:t>上述文件如有冲突，以排列序号小的优先。</w:t>
      </w:r>
    </w:p>
    <w:p w14:paraId="6D372508">
      <w:pPr>
        <w:keepNext w:val="0"/>
        <w:keepLines w:val="0"/>
        <w:pageBreakBefore w:val="0"/>
        <w:widowControl w:val="0"/>
        <w:numPr>
          <w:ilvl w:val="2"/>
          <w:numId w:val="0"/>
        </w:numPr>
        <w:tabs>
          <w:tab w:val="left" w:pos="720"/>
        </w:tabs>
        <w:kinsoku/>
        <w:wordWrap/>
        <w:overflowPunct/>
        <w:topLinePunct w:val="0"/>
        <w:autoSpaceDE/>
        <w:autoSpaceDN/>
        <w:bidi w:val="0"/>
        <w:adjustRightInd/>
        <w:snapToGrid/>
        <w:spacing w:after="156" w:afterLines="50" w:line="360" w:lineRule="auto"/>
        <w:ind w:left="0" w:leftChars="0" w:firstLine="480" w:firstLineChars="200"/>
        <w:textAlignment w:val="auto"/>
        <w:rPr>
          <w:rFonts w:hint="eastAsia" w:ascii="宋体" w:hAnsi="宋体"/>
          <w:color w:val="auto"/>
          <w:sz w:val="24"/>
          <w:szCs w:val="24"/>
          <w:highlight w:val="none"/>
        </w:rPr>
      </w:pPr>
      <w:r>
        <w:rPr>
          <w:rFonts w:hint="default" w:ascii="宋体" w:hAnsi="宋体"/>
          <w:color w:val="auto"/>
          <w:kern w:val="2"/>
          <w:sz w:val="24"/>
          <w:szCs w:val="24"/>
          <w:highlight w:val="none"/>
          <w:lang w:val="en-US" w:eastAsia="zh-CN" w:bidi="ar-SA"/>
        </w:rPr>
        <w:t>3.卖方在此保证全部按照合同的规定向买方提供服务，并修补缺陷，买方将按照本合同价款向卖方进行支付。</w:t>
      </w:r>
    </w:p>
    <w:p w14:paraId="76F906B7">
      <w:pPr>
        <w:keepNext w:val="0"/>
        <w:keepLines w:val="0"/>
        <w:pageBreakBefore w:val="0"/>
        <w:widowControl w:val="0"/>
        <w:numPr>
          <w:ilvl w:val="2"/>
          <w:numId w:val="0"/>
        </w:numPr>
        <w:tabs>
          <w:tab w:val="left" w:pos="720"/>
        </w:tabs>
        <w:kinsoku/>
        <w:wordWrap/>
        <w:overflowPunct/>
        <w:topLinePunct w:val="0"/>
        <w:autoSpaceDE/>
        <w:autoSpaceDN/>
        <w:bidi w:val="0"/>
        <w:adjustRightInd/>
        <w:snapToGrid/>
        <w:spacing w:after="156" w:afterLines="50" w:line="360" w:lineRule="auto"/>
        <w:ind w:left="0" w:leftChars="0" w:firstLine="480" w:firstLineChars="200"/>
        <w:textAlignment w:val="auto"/>
        <w:rPr>
          <w:rFonts w:hint="eastAsia" w:ascii="宋体" w:hAnsi="宋体"/>
          <w:color w:val="auto"/>
          <w:sz w:val="24"/>
          <w:szCs w:val="24"/>
          <w:highlight w:val="none"/>
        </w:rPr>
      </w:pPr>
      <w:r>
        <w:rPr>
          <w:rFonts w:hint="default" w:ascii="宋体" w:hAnsi="宋体"/>
          <w:color w:val="auto"/>
          <w:kern w:val="2"/>
          <w:sz w:val="24"/>
          <w:szCs w:val="24"/>
          <w:highlight w:val="none"/>
          <w:lang w:val="en-US" w:eastAsia="zh-CN" w:bidi="ar-SA"/>
        </w:rPr>
        <w:t>4.</w:t>
      </w:r>
      <w:r>
        <w:rPr>
          <w:rFonts w:hint="eastAsia" w:ascii="宋体" w:hAnsi="宋体"/>
          <w:color w:val="auto"/>
          <w:sz w:val="24"/>
          <w:szCs w:val="24"/>
          <w:highlight w:val="none"/>
        </w:rPr>
        <w:t>本合同正本一式二份，副本一式四份，均以中文书写，在双方代表签字盖章后生效。</w:t>
      </w:r>
    </w:p>
    <w:tbl>
      <w:tblPr>
        <w:tblStyle w:val="7"/>
        <w:tblW w:w="0" w:type="auto"/>
        <w:tblInd w:w="0" w:type="dxa"/>
        <w:tblLayout w:type="autofit"/>
        <w:tblCellMar>
          <w:top w:w="0" w:type="dxa"/>
          <w:left w:w="108" w:type="dxa"/>
          <w:bottom w:w="0" w:type="dxa"/>
          <w:right w:w="108" w:type="dxa"/>
        </w:tblCellMar>
      </w:tblPr>
      <w:tblGrid>
        <w:gridCol w:w="4255"/>
        <w:gridCol w:w="4255"/>
      </w:tblGrid>
      <w:tr w14:paraId="28B934DF">
        <w:tblPrEx>
          <w:tblCellMar>
            <w:top w:w="0" w:type="dxa"/>
            <w:left w:w="108" w:type="dxa"/>
            <w:bottom w:w="0" w:type="dxa"/>
            <w:right w:w="108" w:type="dxa"/>
          </w:tblCellMar>
        </w:tblPrEx>
        <w:trPr>
          <w:trHeight w:val="3727" w:hRule="atLeast"/>
        </w:trPr>
        <w:tc>
          <w:tcPr>
            <w:tcW w:w="4261" w:type="dxa"/>
            <w:noWrap w:val="0"/>
            <w:vAlign w:val="top"/>
          </w:tcPr>
          <w:p w14:paraId="26F3B239">
            <w:pPr>
              <w:spacing w:after="156" w:afterLines="50" w:line="360" w:lineRule="auto"/>
              <w:rPr>
                <w:rFonts w:hint="eastAsia" w:ascii="宋体" w:hAnsi="宋体"/>
                <w:color w:val="auto"/>
                <w:sz w:val="24"/>
                <w:highlight w:val="none"/>
                <w:u w:val="single"/>
              </w:rPr>
            </w:pPr>
            <w:r>
              <w:rPr>
                <w:rFonts w:hint="eastAsia" w:ascii="宋体" w:hAnsi="宋体"/>
                <w:color w:val="auto"/>
                <w:sz w:val="24"/>
                <w:highlight w:val="none"/>
              </w:rPr>
              <w:t>买方名称</w:t>
            </w:r>
            <w:r>
              <w:rPr>
                <w:rFonts w:hint="eastAsia" w:ascii="宋体" w:hAnsi="宋体"/>
                <w:color w:val="auto"/>
                <w:sz w:val="24"/>
                <w:highlight w:val="none"/>
                <w:u w:val="single"/>
              </w:rPr>
              <w:t xml:space="preserve">                         </w:t>
            </w:r>
          </w:p>
          <w:p w14:paraId="7CAF743D">
            <w:pPr>
              <w:spacing w:after="156" w:afterLines="50" w:line="360" w:lineRule="auto"/>
              <w:rPr>
                <w:rFonts w:hint="eastAsia" w:ascii="宋体" w:hAnsi="宋体"/>
                <w:color w:val="auto"/>
                <w:sz w:val="24"/>
                <w:highlight w:val="none"/>
              </w:rPr>
            </w:pPr>
            <w:r>
              <w:rPr>
                <w:rFonts w:hint="eastAsia" w:ascii="宋体" w:hAnsi="宋体"/>
                <w:color w:val="auto"/>
                <w:sz w:val="24"/>
                <w:highlight w:val="none"/>
              </w:rPr>
              <w:t>买方代表姓名</w:t>
            </w:r>
            <w:r>
              <w:rPr>
                <w:rFonts w:hint="eastAsia" w:ascii="宋体" w:hAnsi="宋体"/>
                <w:color w:val="auto"/>
                <w:sz w:val="24"/>
                <w:highlight w:val="none"/>
                <w:u w:val="single"/>
              </w:rPr>
              <w:t xml:space="preserve">                     </w:t>
            </w:r>
          </w:p>
          <w:p w14:paraId="4D2EA4CF">
            <w:pPr>
              <w:spacing w:after="156" w:afterLines="50" w:line="360" w:lineRule="auto"/>
              <w:rPr>
                <w:rFonts w:hint="eastAsia" w:ascii="宋体" w:hAnsi="宋体"/>
                <w:color w:val="auto"/>
                <w:sz w:val="24"/>
                <w:highlight w:val="none"/>
                <w:u w:val="single"/>
              </w:rPr>
            </w:pPr>
            <w:r>
              <w:rPr>
                <w:rFonts w:hint="eastAsia" w:ascii="宋体" w:hAnsi="宋体"/>
                <w:color w:val="auto"/>
                <w:sz w:val="24"/>
                <w:highlight w:val="none"/>
              </w:rPr>
              <w:t>买方代表签字</w:t>
            </w:r>
            <w:r>
              <w:rPr>
                <w:rFonts w:hint="eastAsia" w:ascii="宋体" w:hAnsi="宋体"/>
                <w:color w:val="auto"/>
                <w:sz w:val="24"/>
                <w:highlight w:val="none"/>
                <w:u w:val="single"/>
              </w:rPr>
              <w:t xml:space="preserve">                     </w:t>
            </w:r>
          </w:p>
          <w:p w14:paraId="458CD6E9">
            <w:pPr>
              <w:spacing w:after="156" w:afterLines="50" w:line="360" w:lineRule="auto"/>
              <w:rPr>
                <w:rFonts w:hint="eastAsia" w:ascii="宋体" w:hAnsi="宋体"/>
                <w:color w:val="auto"/>
                <w:sz w:val="24"/>
                <w:highlight w:val="none"/>
              </w:rPr>
            </w:pPr>
            <w:r>
              <w:rPr>
                <w:rFonts w:hint="eastAsia" w:ascii="宋体" w:hAnsi="宋体"/>
                <w:color w:val="auto"/>
                <w:sz w:val="24"/>
                <w:highlight w:val="none"/>
              </w:rPr>
              <w:t xml:space="preserve">签字日期 </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661E8107">
            <w:pPr>
              <w:spacing w:after="156" w:afterLines="50" w:line="360" w:lineRule="auto"/>
              <w:rPr>
                <w:rFonts w:hint="eastAsia" w:ascii="宋体" w:hAnsi="宋体"/>
                <w:color w:val="auto"/>
                <w:sz w:val="24"/>
                <w:highlight w:val="none"/>
              </w:rPr>
            </w:pPr>
            <w:r>
              <w:rPr>
                <w:rFonts w:hint="eastAsia" w:ascii="宋体" w:hAnsi="宋体"/>
                <w:color w:val="auto"/>
                <w:sz w:val="24"/>
                <w:highlight w:val="none"/>
              </w:rPr>
              <w:t xml:space="preserve">买方公章（或合同章） </w:t>
            </w:r>
            <w:r>
              <w:rPr>
                <w:rFonts w:hint="eastAsia" w:ascii="宋体" w:hAnsi="宋体"/>
                <w:color w:val="auto"/>
                <w:sz w:val="24"/>
                <w:highlight w:val="none"/>
                <w:u w:val="single"/>
              </w:rPr>
              <w:t xml:space="preserve">            </w:t>
            </w:r>
          </w:p>
        </w:tc>
        <w:tc>
          <w:tcPr>
            <w:tcW w:w="4261" w:type="dxa"/>
            <w:noWrap w:val="0"/>
            <w:vAlign w:val="top"/>
          </w:tcPr>
          <w:p w14:paraId="55564074">
            <w:pPr>
              <w:spacing w:after="156" w:afterLines="50" w:line="360" w:lineRule="auto"/>
              <w:rPr>
                <w:rFonts w:hint="eastAsia" w:ascii="宋体" w:hAnsi="宋体"/>
                <w:color w:val="auto"/>
                <w:sz w:val="24"/>
                <w:highlight w:val="none"/>
                <w:u w:val="single"/>
              </w:rPr>
            </w:pPr>
            <w:r>
              <w:rPr>
                <w:rFonts w:hint="eastAsia" w:ascii="宋体" w:hAnsi="宋体" w:eastAsia="宋体"/>
                <w:color w:val="auto"/>
                <w:sz w:val="24"/>
                <w:highlight w:val="none"/>
                <w:lang w:eastAsia="zh-CN"/>
              </w:rPr>
              <w:t>卖方</w:t>
            </w:r>
            <w:r>
              <w:rPr>
                <w:rFonts w:hint="eastAsia" w:ascii="宋体" w:hAnsi="宋体"/>
                <w:color w:val="auto"/>
                <w:sz w:val="24"/>
                <w:highlight w:val="none"/>
              </w:rPr>
              <w:t>名称</w:t>
            </w:r>
            <w:r>
              <w:rPr>
                <w:rFonts w:hint="eastAsia" w:ascii="宋体" w:hAnsi="宋体"/>
                <w:color w:val="auto"/>
                <w:sz w:val="24"/>
                <w:highlight w:val="none"/>
                <w:u w:val="single"/>
              </w:rPr>
              <w:t xml:space="preserve">                         </w:t>
            </w:r>
          </w:p>
          <w:p w14:paraId="21284C01">
            <w:pPr>
              <w:spacing w:after="156" w:afterLines="50" w:line="360" w:lineRule="auto"/>
              <w:rPr>
                <w:rFonts w:hint="eastAsia" w:ascii="宋体" w:hAnsi="宋体"/>
                <w:color w:val="auto"/>
                <w:sz w:val="24"/>
                <w:highlight w:val="none"/>
              </w:rPr>
            </w:pPr>
            <w:r>
              <w:rPr>
                <w:rFonts w:hint="eastAsia" w:ascii="宋体" w:hAnsi="宋体" w:eastAsia="宋体"/>
                <w:color w:val="auto"/>
                <w:sz w:val="24"/>
                <w:highlight w:val="none"/>
                <w:lang w:eastAsia="zh-CN"/>
              </w:rPr>
              <w:t>卖方</w:t>
            </w:r>
            <w:r>
              <w:rPr>
                <w:rFonts w:hint="eastAsia" w:ascii="宋体" w:hAnsi="宋体"/>
                <w:color w:val="auto"/>
                <w:sz w:val="24"/>
                <w:highlight w:val="none"/>
              </w:rPr>
              <w:t>代表姓名</w:t>
            </w:r>
            <w:r>
              <w:rPr>
                <w:rFonts w:hint="eastAsia" w:ascii="宋体" w:hAnsi="宋体"/>
                <w:color w:val="auto"/>
                <w:sz w:val="24"/>
                <w:highlight w:val="none"/>
                <w:u w:val="single"/>
              </w:rPr>
              <w:t xml:space="preserve">                     </w:t>
            </w:r>
          </w:p>
          <w:p w14:paraId="041888A3">
            <w:pPr>
              <w:spacing w:after="156" w:afterLines="50" w:line="360" w:lineRule="auto"/>
              <w:rPr>
                <w:rFonts w:hint="eastAsia" w:ascii="宋体" w:hAnsi="宋体"/>
                <w:color w:val="auto"/>
                <w:sz w:val="24"/>
                <w:highlight w:val="none"/>
                <w:u w:val="single"/>
              </w:rPr>
            </w:pPr>
            <w:r>
              <w:rPr>
                <w:rFonts w:hint="eastAsia" w:ascii="宋体" w:hAnsi="宋体" w:eastAsia="宋体"/>
                <w:color w:val="auto"/>
                <w:sz w:val="24"/>
                <w:highlight w:val="none"/>
                <w:lang w:eastAsia="zh-CN"/>
              </w:rPr>
              <w:t>卖方</w:t>
            </w:r>
            <w:r>
              <w:rPr>
                <w:rFonts w:hint="eastAsia" w:ascii="宋体" w:hAnsi="宋体"/>
                <w:color w:val="auto"/>
                <w:sz w:val="24"/>
                <w:highlight w:val="none"/>
              </w:rPr>
              <w:t>代表签字</w:t>
            </w:r>
            <w:r>
              <w:rPr>
                <w:rFonts w:hint="eastAsia" w:ascii="宋体" w:hAnsi="宋体"/>
                <w:color w:val="auto"/>
                <w:sz w:val="24"/>
                <w:highlight w:val="none"/>
                <w:u w:val="single"/>
              </w:rPr>
              <w:t xml:space="preserve">                     </w:t>
            </w:r>
          </w:p>
          <w:p w14:paraId="6738E774">
            <w:pPr>
              <w:spacing w:after="156" w:afterLines="50" w:line="360" w:lineRule="auto"/>
              <w:rPr>
                <w:rFonts w:hint="eastAsia" w:ascii="宋体" w:hAnsi="宋体"/>
                <w:color w:val="auto"/>
                <w:sz w:val="24"/>
                <w:highlight w:val="none"/>
              </w:rPr>
            </w:pPr>
            <w:r>
              <w:rPr>
                <w:rFonts w:hint="eastAsia" w:ascii="宋体" w:hAnsi="宋体"/>
                <w:color w:val="auto"/>
                <w:sz w:val="24"/>
                <w:highlight w:val="none"/>
              </w:rPr>
              <w:t xml:space="preserve">签字日期 </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0EB66415">
            <w:pPr>
              <w:spacing w:after="156" w:afterLines="50" w:line="360" w:lineRule="auto"/>
              <w:rPr>
                <w:rFonts w:hint="eastAsia" w:ascii="宋体" w:hAnsi="宋体"/>
                <w:color w:val="auto"/>
                <w:sz w:val="24"/>
                <w:highlight w:val="none"/>
              </w:rPr>
            </w:pPr>
            <w:r>
              <w:rPr>
                <w:rFonts w:hint="eastAsia" w:ascii="宋体" w:hAnsi="宋体" w:eastAsia="宋体"/>
                <w:color w:val="auto"/>
                <w:sz w:val="24"/>
                <w:highlight w:val="none"/>
                <w:lang w:eastAsia="zh-CN"/>
              </w:rPr>
              <w:t>卖方</w:t>
            </w:r>
            <w:r>
              <w:rPr>
                <w:rFonts w:hint="eastAsia" w:ascii="宋体" w:hAnsi="宋体"/>
                <w:color w:val="auto"/>
                <w:sz w:val="24"/>
                <w:highlight w:val="none"/>
              </w:rPr>
              <w:t xml:space="preserve">公章（或合同章） </w:t>
            </w:r>
            <w:r>
              <w:rPr>
                <w:rFonts w:hint="eastAsia" w:ascii="宋体" w:hAnsi="宋体"/>
                <w:color w:val="auto"/>
                <w:sz w:val="24"/>
                <w:highlight w:val="none"/>
                <w:u w:val="single"/>
              </w:rPr>
              <w:t xml:space="preserve">            </w:t>
            </w:r>
          </w:p>
        </w:tc>
      </w:tr>
    </w:tbl>
    <w:p w14:paraId="38E7C0F2">
      <w:pPr>
        <w:pStyle w:val="4"/>
        <w:spacing w:line="360" w:lineRule="auto"/>
        <w:ind w:left="1470" w:right="1470" w:firstLine="2100" w:firstLineChars="1000"/>
        <w:rPr>
          <w:color w:val="auto"/>
          <w:szCs w:val="21"/>
          <w:highlight w:val="none"/>
        </w:rPr>
      </w:pPr>
    </w:p>
    <w:p w14:paraId="71D8491A">
      <w:pPr>
        <w:pStyle w:val="3"/>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b/>
          <w:bCs/>
          <w:spacing w:val="0"/>
          <w:position w:val="2"/>
          <w:sz w:val="28"/>
          <w:szCs w:val="28"/>
          <w:lang w:eastAsia="zh-CN"/>
        </w:rPr>
      </w:pPr>
    </w:p>
    <w:sectPr>
      <w:footerReference r:id="rId5" w:type="default"/>
      <w:pgSz w:w="11900" w:h="16840"/>
      <w:pgMar w:top="1440" w:right="1803" w:bottom="1440" w:left="1803" w:header="850" w:footer="96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76CE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AE4A6E">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7AE4A6E">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4F7E27"/>
    <w:multiLevelType w:val="multilevel"/>
    <w:tmpl w:val="044F7E27"/>
    <w:lvl w:ilvl="0" w:tentative="0">
      <w:start w:val="1"/>
      <w:numFmt w:val="decimal"/>
      <w:lvlText w:val="%1."/>
      <w:lvlJc w:val="left"/>
      <w:pPr>
        <w:tabs>
          <w:tab w:val="left" w:pos="600"/>
        </w:tabs>
        <w:ind w:left="600" w:hanging="600"/>
      </w:pPr>
      <w:rPr>
        <w:rFonts w:hint="default"/>
      </w:rPr>
    </w:lvl>
    <w:lvl w:ilvl="1" w:tentative="0">
      <w:start w:val="1"/>
      <w:numFmt w:val="decimal"/>
      <w:lvlText w:val="%1.%2）"/>
      <w:lvlJc w:val="left"/>
      <w:pPr>
        <w:tabs>
          <w:tab w:val="left" w:pos="1440"/>
        </w:tabs>
        <w:ind w:left="1440" w:hanging="720"/>
      </w:pPr>
      <w:rPr>
        <w:rFonts w:hint="default"/>
      </w:rPr>
    </w:lvl>
    <w:lvl w:ilvl="2" w:tentative="0">
      <w:start w:val="1"/>
      <w:numFmt w:val="decimal"/>
      <w:lvlText w:val="%1.%2）%3."/>
      <w:lvlJc w:val="left"/>
      <w:pPr>
        <w:tabs>
          <w:tab w:val="left" w:pos="2520"/>
        </w:tabs>
        <w:ind w:left="2520" w:hanging="1080"/>
      </w:pPr>
      <w:rPr>
        <w:rFonts w:hint="default"/>
      </w:rPr>
    </w:lvl>
    <w:lvl w:ilvl="3" w:tentative="0">
      <w:start w:val="1"/>
      <w:numFmt w:val="decimal"/>
      <w:lvlText w:val="%1.%2）%3.%4."/>
      <w:lvlJc w:val="left"/>
      <w:pPr>
        <w:tabs>
          <w:tab w:val="left" w:pos="3240"/>
        </w:tabs>
        <w:ind w:left="3240" w:hanging="1080"/>
      </w:pPr>
      <w:rPr>
        <w:rFonts w:hint="default"/>
      </w:rPr>
    </w:lvl>
    <w:lvl w:ilvl="4" w:tentative="0">
      <w:start w:val="1"/>
      <w:numFmt w:val="decimal"/>
      <w:lvlText w:val="%1.%2）%3.%4.%5."/>
      <w:lvlJc w:val="left"/>
      <w:pPr>
        <w:tabs>
          <w:tab w:val="left" w:pos="4320"/>
        </w:tabs>
        <w:ind w:left="4320" w:hanging="1440"/>
      </w:pPr>
      <w:rPr>
        <w:rFonts w:hint="default"/>
      </w:rPr>
    </w:lvl>
    <w:lvl w:ilvl="5" w:tentative="0">
      <w:start w:val="1"/>
      <w:numFmt w:val="decimal"/>
      <w:lvlText w:val="%1.%2）%3.%4.%5.%6."/>
      <w:lvlJc w:val="left"/>
      <w:pPr>
        <w:tabs>
          <w:tab w:val="left" w:pos="5400"/>
        </w:tabs>
        <w:ind w:left="5400" w:hanging="1800"/>
      </w:pPr>
      <w:rPr>
        <w:rFonts w:hint="default"/>
      </w:rPr>
    </w:lvl>
    <w:lvl w:ilvl="6" w:tentative="0">
      <w:start w:val="1"/>
      <w:numFmt w:val="decimal"/>
      <w:lvlText w:val="%1.%2）%3.%4.%5.%6.%7."/>
      <w:lvlJc w:val="left"/>
      <w:pPr>
        <w:tabs>
          <w:tab w:val="left" w:pos="6120"/>
        </w:tabs>
        <w:ind w:left="6120" w:hanging="1800"/>
      </w:pPr>
      <w:rPr>
        <w:rFonts w:hint="default"/>
      </w:rPr>
    </w:lvl>
    <w:lvl w:ilvl="7" w:tentative="0">
      <w:start w:val="1"/>
      <w:numFmt w:val="decimal"/>
      <w:lvlText w:val="%1.%2）%3.%4.%5.%6.%7.%8."/>
      <w:lvlJc w:val="left"/>
      <w:pPr>
        <w:tabs>
          <w:tab w:val="left" w:pos="7200"/>
        </w:tabs>
        <w:ind w:left="7200" w:hanging="2160"/>
      </w:pPr>
      <w:rPr>
        <w:rFonts w:hint="default"/>
      </w:rPr>
    </w:lvl>
    <w:lvl w:ilvl="8" w:tentative="0">
      <w:start w:val="1"/>
      <w:numFmt w:val="decimal"/>
      <w:lvlText w:val="%1.%2）%3.%4.%5.%6.%7.%8.%9."/>
      <w:lvlJc w:val="left"/>
      <w:pPr>
        <w:tabs>
          <w:tab w:val="left" w:pos="8280"/>
        </w:tabs>
        <w:ind w:left="8280" w:hanging="2520"/>
      </w:pPr>
      <w:rPr>
        <w:rFonts w:hint="default"/>
      </w:rPr>
    </w:lvl>
  </w:abstractNum>
  <w:abstractNum w:abstractNumId="1">
    <w:nsid w:val="3E2E255E"/>
    <w:multiLevelType w:val="multilevel"/>
    <w:tmpl w:val="3E2E255E"/>
    <w:lvl w:ilvl="0" w:tentative="0">
      <w:start w:val="1"/>
      <w:numFmt w:val="decimal"/>
      <w:lvlText w:val="%1)"/>
      <w:lvlJc w:val="left"/>
      <w:pPr>
        <w:tabs>
          <w:tab w:val="left" w:pos="1680"/>
        </w:tabs>
        <w:ind w:left="1680" w:hanging="420"/>
      </w:pPr>
      <w:rPr>
        <w:rFonts w:hint="eastAsia"/>
      </w:rPr>
    </w:lvl>
    <w:lvl w:ilvl="1" w:tentative="0">
      <w:start w:val="1"/>
      <w:numFmt w:val="decimal"/>
      <w:lvlText w:val="%2．"/>
      <w:lvlJc w:val="left"/>
      <w:pPr>
        <w:tabs>
          <w:tab w:val="left" w:pos="270"/>
        </w:tabs>
        <w:ind w:left="270" w:hanging="720"/>
      </w:pPr>
      <w:rPr>
        <w:rFonts w:hint="default"/>
      </w:rPr>
    </w:lvl>
    <w:lvl w:ilvl="2" w:tentative="0">
      <w:start w:val="1"/>
      <w:numFmt w:val="lowerRoman"/>
      <w:lvlText w:val="%3."/>
      <w:lvlJc w:val="right"/>
      <w:pPr>
        <w:tabs>
          <w:tab w:val="left" w:pos="390"/>
        </w:tabs>
        <w:ind w:left="390" w:hanging="420"/>
      </w:pPr>
    </w:lvl>
    <w:lvl w:ilvl="3" w:tentative="0">
      <w:start w:val="8"/>
      <w:numFmt w:val="japaneseCounting"/>
      <w:lvlText w:val="第%4章"/>
      <w:lvlJc w:val="left"/>
      <w:pPr>
        <w:tabs>
          <w:tab w:val="left" w:pos="1470"/>
        </w:tabs>
        <w:ind w:left="1470" w:hanging="1080"/>
      </w:pPr>
      <w:rPr>
        <w:rFonts w:hint="eastAsia"/>
      </w:rPr>
    </w:lvl>
    <w:lvl w:ilvl="4" w:tentative="0">
      <w:start w:val="1"/>
      <w:numFmt w:val="japaneseCounting"/>
      <w:lvlText w:val="%5、"/>
      <w:lvlJc w:val="left"/>
      <w:pPr>
        <w:tabs>
          <w:tab w:val="left" w:pos="1290"/>
        </w:tabs>
        <w:ind w:left="1290" w:hanging="480"/>
      </w:pPr>
      <w:rPr>
        <w:rFonts w:hint="default"/>
        <w:u w:val="none"/>
      </w:rPr>
    </w:lvl>
    <w:lvl w:ilvl="5" w:tentative="0">
      <w:start w:val="3"/>
      <w:numFmt w:val="bullet"/>
      <w:lvlText w:val=""/>
      <w:lvlJc w:val="left"/>
      <w:pPr>
        <w:tabs>
          <w:tab w:val="left" w:pos="1590"/>
        </w:tabs>
        <w:ind w:left="1590" w:hanging="360"/>
      </w:pPr>
      <w:rPr>
        <w:rFonts w:hint="default" w:ascii="Wingdings" w:hAnsi="Wingdings" w:eastAsia="宋体" w:cs="Times New Roman"/>
      </w:rPr>
    </w:lvl>
    <w:lvl w:ilvl="6" w:tentative="0">
      <w:start w:val="1"/>
      <w:numFmt w:val="decimal"/>
      <w:lvlText w:val="%7."/>
      <w:lvlJc w:val="left"/>
      <w:pPr>
        <w:tabs>
          <w:tab w:val="left" w:pos="2010"/>
        </w:tabs>
        <w:ind w:left="2010" w:hanging="360"/>
      </w:pPr>
      <w:rPr>
        <w:rFonts w:hint="default"/>
      </w:rPr>
    </w:lvl>
    <w:lvl w:ilvl="7" w:tentative="0">
      <w:start w:val="4"/>
      <w:numFmt w:val="decimal"/>
      <w:lvlText w:val="%8、"/>
      <w:lvlJc w:val="left"/>
      <w:pPr>
        <w:tabs>
          <w:tab w:val="left" w:pos="2430"/>
        </w:tabs>
        <w:ind w:left="2430" w:hanging="360"/>
      </w:pPr>
      <w:rPr>
        <w:rFonts w:hint="default" w:ascii="宋体" w:hAnsi="宋体"/>
        <w:b w:val="0"/>
      </w:rPr>
    </w:lvl>
    <w:lvl w:ilvl="8" w:tentative="0">
      <w:start w:val="4"/>
      <w:numFmt w:val="japaneseCounting"/>
      <w:lvlText w:val="（%9）"/>
      <w:lvlJc w:val="left"/>
      <w:pPr>
        <w:ind w:left="3570" w:hanging="108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5675475"/>
    <w:rsid w:val="0A064980"/>
    <w:rsid w:val="11A4366A"/>
    <w:rsid w:val="14BE5E0F"/>
    <w:rsid w:val="171952CF"/>
    <w:rsid w:val="1D181F30"/>
    <w:rsid w:val="2230171F"/>
    <w:rsid w:val="226C4902"/>
    <w:rsid w:val="2F650837"/>
    <w:rsid w:val="345E787D"/>
    <w:rsid w:val="34822752"/>
    <w:rsid w:val="3C0A4DDE"/>
    <w:rsid w:val="3C137C90"/>
    <w:rsid w:val="3E20106F"/>
    <w:rsid w:val="3ED449D6"/>
    <w:rsid w:val="3EEA4CD8"/>
    <w:rsid w:val="428A7F9D"/>
    <w:rsid w:val="46C27D84"/>
    <w:rsid w:val="4C43601E"/>
    <w:rsid w:val="4C4C01E6"/>
    <w:rsid w:val="4D96514A"/>
    <w:rsid w:val="4F0516BA"/>
    <w:rsid w:val="545F68DA"/>
    <w:rsid w:val="5BF10D33"/>
    <w:rsid w:val="5C422723"/>
    <w:rsid w:val="5E76564A"/>
    <w:rsid w:val="60D90E28"/>
    <w:rsid w:val="63BD6722"/>
    <w:rsid w:val="66251C5B"/>
    <w:rsid w:val="6EC64279"/>
    <w:rsid w:val="75BA690B"/>
    <w:rsid w:val="7ADE0E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14"/>
    <w:qFormat/>
    <w:uiPriority w:val="0"/>
    <w:pPr>
      <w:keepNext/>
      <w:jc w:val="center"/>
      <w:outlineLvl w:val="0"/>
    </w:pPr>
    <w:rPr>
      <w:kern w:val="0"/>
      <w:sz w:val="28"/>
    </w:rPr>
  </w:style>
  <w:style w:type="character" w:default="1" w:styleId="8">
    <w:name w:val="Default Paragraph Font"/>
    <w:semiHidden/>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31"/>
      <w:szCs w:val="31"/>
      <w:lang w:val="en-US" w:eastAsia="en-US" w:bidi="ar-SA"/>
    </w:rPr>
  </w:style>
  <w:style w:type="paragraph" w:styleId="4">
    <w:name w:val="Block Text"/>
    <w:basedOn w:val="1"/>
    <w:qFormat/>
    <w:uiPriority w:val="0"/>
    <w:pPr>
      <w:ind w:left="1440" w:leftChars="700" w:right="700" w:rightChars="7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sz w:val="31"/>
      <w:szCs w:val="31"/>
      <w:lang w:val="en-US" w:eastAsia="en-US" w:bidi="ar-SA"/>
    </w:rPr>
  </w:style>
  <w:style w:type="character" w:customStyle="1" w:styleId="11">
    <w:name w:val="NormalCharacter"/>
    <w:link w:val="12"/>
    <w:qFormat/>
    <w:uiPriority w:val="0"/>
  </w:style>
  <w:style w:type="paragraph" w:customStyle="1" w:styleId="12">
    <w:name w:val="UserStyle_4"/>
    <w:basedOn w:val="1"/>
    <w:link w:val="11"/>
    <w:qFormat/>
    <w:uiPriority w:val="99"/>
  </w:style>
  <w:style w:type="paragraph" w:customStyle="1" w:styleId="13">
    <w:name w:val="Heading3"/>
    <w:basedOn w:val="1"/>
    <w:next w:val="1"/>
    <w:qFormat/>
    <w:uiPriority w:val="99"/>
    <w:pPr>
      <w:keepNext/>
      <w:keepLines/>
      <w:spacing w:before="260" w:after="260" w:line="413" w:lineRule="auto"/>
    </w:pPr>
    <w:rPr>
      <w:b/>
      <w:sz w:val="32"/>
    </w:rPr>
  </w:style>
  <w:style w:type="character" w:customStyle="1" w:styleId="14">
    <w:name w:val="标题 1 字符"/>
    <w:link w:val="2"/>
    <w:qFormat/>
    <w:uiPriority w:val="0"/>
    <w:rPr>
      <w:kern w:val="0"/>
      <w:sz w:val="28"/>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3419</Words>
  <Characters>3579</Characters>
  <TotalTime>1</TotalTime>
  <ScaleCrop>false</ScaleCrop>
  <LinksUpToDate>false</LinksUpToDate>
  <CharactersWithSpaces>3901</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2025-01-09T13:34:00Z</dcterms:created>
  <dc:creator>Kingsoft-PDF</dc:creator>
  <cp:lastModifiedBy>慧科</cp:lastModifiedBy>
  <dcterms:modified xsi:type="dcterms:W3CDTF">2026-04-24T05:59:03Z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2025-01-09T13:34:05Z</vt:filetime>
  </property>
  <property fmtid="{D5CDD505-2E9C-101B-9397-08002B2CF9AE}" pid="4" name="UsrData">
    <vt:lpwstr>677f5fc8d0534a001fbc984awl</vt:lpwstr>
  </property>
  <property fmtid="{D5CDD505-2E9C-101B-9397-08002B2CF9AE}" pid="5" name="KSOTemplateDocerSaveRecord">
    <vt:lpwstr>eyJoZGlkIjoiMTg3ZDgwYTA2ODU1ZmQzZDc0ZGVmMmZjZWU1N2Q2ZjciLCJ1c2VySWQiOiIyODM3ODY0NjMifQ==</vt:lpwstr>
  </property>
  <property fmtid="{D5CDD505-2E9C-101B-9397-08002B2CF9AE}" pid="6" name="KSOProductBuildVer">
    <vt:lpwstr>2052-12.1.0.25865</vt:lpwstr>
  </property>
  <property fmtid="{D5CDD505-2E9C-101B-9397-08002B2CF9AE}" pid="7" name="ICV">
    <vt:lpwstr>DFAA69128CBB4B4ABD1EB3F758BD6199_13</vt:lpwstr>
  </property>
</Properties>
</file>