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6A03D3">
      <w:pPr>
        <w:pStyle w:val="12"/>
        <w:jc w:val="center"/>
        <w:outlineLvl w:val="1"/>
        <w:rPr>
          <w:rFonts w:hint="eastAsia" w:ascii="宋体" w:hAnsi="宋体" w:eastAsia="宋体" w:cs="宋体"/>
          <w:b/>
          <w:sz w:val="36"/>
          <w:highlight w:val="none"/>
        </w:rPr>
      </w:pPr>
      <w:bookmarkStart w:id="112" w:name="_GoBack"/>
      <w:r>
        <w:rPr>
          <w:rFonts w:hint="eastAsia" w:ascii="宋体" w:hAnsi="宋体" w:eastAsia="宋体" w:cs="宋体"/>
          <w:b/>
          <w:sz w:val="36"/>
          <w:highlight w:val="none"/>
        </w:rPr>
        <w:t xml:space="preserve"> 拟签订采购合同文本</w:t>
      </w:r>
    </w:p>
    <w:p w14:paraId="7732359E">
      <w:pPr>
        <w:pStyle w:val="5"/>
        <w:numPr>
          <w:ilvl w:val="0"/>
          <w:numId w:val="0"/>
        </w:numPr>
        <w:ind w:right="1470" w:rightChars="700"/>
        <w:rPr>
          <w:rFonts w:hint="eastAsia" w:ascii="宋体" w:hAnsi="宋体" w:eastAsia="宋体" w:cs="宋体"/>
          <w:highlight w:val="none"/>
        </w:rPr>
      </w:pPr>
    </w:p>
    <w:p w14:paraId="43280B78">
      <w:pPr>
        <w:pStyle w:val="13"/>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 注：本合同作为合同的基本格式，采购人有权在签订合同时对合同的相关条款及内容作进一步的细化和修改，但不得改变招标文件及投标文件、中标通知书规定的实质性内容）</w:t>
      </w:r>
    </w:p>
    <w:p w14:paraId="724CC8BE">
      <w:pPr>
        <w:pStyle w:val="13"/>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采购人（以下称“甲方”）：</w:t>
      </w:r>
      <w:r>
        <w:rPr>
          <w:rFonts w:hint="eastAsia" w:ascii="仿宋" w:hAnsi="仿宋" w:eastAsia="仿宋" w:cs="仿宋"/>
          <w:sz w:val="28"/>
          <w:szCs w:val="28"/>
          <w:highlight w:val="none"/>
          <w:u w:val="single"/>
        </w:rPr>
        <w:t xml:space="preserve"> 陕西省西安市中级人民法院 </w:t>
      </w:r>
      <w:r>
        <w:rPr>
          <w:rFonts w:hint="eastAsia" w:ascii="仿宋" w:hAnsi="仿宋" w:eastAsia="仿宋" w:cs="仿宋"/>
          <w:sz w:val="28"/>
          <w:szCs w:val="28"/>
          <w:highlight w:val="none"/>
        </w:rPr>
        <w:t xml:space="preserve">                                         </w:t>
      </w:r>
    </w:p>
    <w:p w14:paraId="06BE0C2D">
      <w:pPr>
        <w:pStyle w:val="13"/>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地址：</w:t>
      </w:r>
      <w:r>
        <w:rPr>
          <w:rFonts w:hint="eastAsia" w:ascii="仿宋" w:hAnsi="仿宋" w:eastAsia="仿宋" w:cs="仿宋"/>
          <w:sz w:val="28"/>
          <w:szCs w:val="28"/>
          <w:highlight w:val="none"/>
          <w:u w:val="single"/>
        </w:rPr>
        <w:t>西安市未央区二环北路东段139号</w:t>
      </w:r>
      <w:r>
        <w:rPr>
          <w:rFonts w:hint="eastAsia" w:ascii="仿宋" w:hAnsi="仿宋" w:eastAsia="仿宋" w:cs="仿宋"/>
          <w:sz w:val="28"/>
          <w:szCs w:val="28"/>
          <w:highlight w:val="none"/>
        </w:rPr>
        <w:t xml:space="preserve">                                                            </w:t>
      </w:r>
    </w:p>
    <w:p w14:paraId="43E5C43C">
      <w:pPr>
        <w:pStyle w:val="13"/>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联系方式：</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14:paraId="60A5F9E0">
      <w:pPr>
        <w:pStyle w:val="13"/>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供应商（以下称“乙方”）：</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14:paraId="5A6FFC89">
      <w:pPr>
        <w:pStyle w:val="13"/>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地址：</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14:paraId="1537FEC5">
      <w:pPr>
        <w:pStyle w:val="13"/>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联系方式：</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14:paraId="20358DBB">
      <w:pPr>
        <w:pStyle w:val="13"/>
        <w:spacing w:line="360" w:lineRule="auto"/>
        <w:ind w:firstLine="546" w:firstLineChars="195"/>
        <w:rPr>
          <w:rFonts w:hint="eastAsia" w:ascii="仿宋" w:hAnsi="仿宋" w:eastAsia="仿宋" w:cs="仿宋"/>
          <w:sz w:val="28"/>
          <w:szCs w:val="28"/>
          <w:highlight w:val="none"/>
        </w:rPr>
      </w:pPr>
      <w:r>
        <w:rPr>
          <w:rFonts w:hint="eastAsia" w:ascii="仿宋" w:hAnsi="仿宋" w:eastAsia="仿宋" w:cs="仿宋"/>
          <w:sz w:val="28"/>
          <w:szCs w:val="28"/>
          <w:highlight w:val="none"/>
        </w:rPr>
        <w:t>根据《中华人民共和国政府采购法》及实施条例 《中华人民共和国民法典》和甲方采购项目</w:t>
      </w:r>
      <w:r>
        <w:rPr>
          <w:rFonts w:hint="eastAsia" w:ascii="仿宋" w:hAnsi="仿宋" w:eastAsia="仿宋" w:cs="仿宋"/>
          <w:sz w:val="28"/>
          <w:szCs w:val="28"/>
          <w:highlight w:val="none"/>
          <w:u w:val="single"/>
        </w:rPr>
        <w:t>（采购项目编号：TZZB-Z-2026083C）</w:t>
      </w:r>
      <w:r>
        <w:rPr>
          <w:rFonts w:hint="eastAsia" w:ascii="仿宋" w:hAnsi="仿宋" w:eastAsia="仿宋" w:cs="仿宋"/>
          <w:sz w:val="28"/>
          <w:szCs w:val="28"/>
          <w:highlight w:val="none"/>
        </w:rPr>
        <w:t>的招标文件、乙方递交的投标文件等有关规定，为确保甲方采购项目的顺利实施，甲、乙双方在平等自愿原则下签订本合同，并共同遵守如下条款：</w:t>
      </w:r>
    </w:p>
    <w:p w14:paraId="418B0152">
      <w:pPr>
        <w:numPr>
          <w:ilvl w:val="0"/>
          <w:numId w:val="1"/>
        </w:numPr>
        <w:tabs>
          <w:tab w:val="left" w:pos="1379"/>
        </w:tabs>
        <w:spacing w:line="360" w:lineRule="auto"/>
        <w:ind w:firstLine="562" w:firstLineChars="200"/>
        <w:outlineLvl w:val="1"/>
        <w:rPr>
          <w:rFonts w:hint="eastAsia" w:ascii="仿宋" w:hAnsi="仿宋" w:eastAsia="仿宋" w:cs="仿宋"/>
          <w:b/>
          <w:sz w:val="28"/>
          <w:szCs w:val="28"/>
          <w:highlight w:val="none"/>
        </w:rPr>
      </w:pPr>
      <w:bookmarkStart w:id="0" w:name="_Toc6698"/>
      <w:bookmarkStart w:id="1" w:name="_Toc8233"/>
      <w:bookmarkStart w:id="2" w:name="_Toc6440"/>
      <w:bookmarkStart w:id="3" w:name="_Toc18746"/>
      <w:r>
        <w:rPr>
          <w:rFonts w:hint="eastAsia" w:ascii="仿宋" w:hAnsi="仿宋" w:eastAsia="仿宋" w:cs="仿宋"/>
          <w:b/>
          <w:sz w:val="28"/>
          <w:szCs w:val="28"/>
          <w:highlight w:val="none"/>
        </w:rPr>
        <w:t>合同采购内容</w:t>
      </w:r>
      <w:bookmarkEnd w:id="0"/>
      <w:bookmarkEnd w:id="1"/>
      <w:bookmarkEnd w:id="2"/>
      <w:bookmarkEnd w:id="3"/>
    </w:p>
    <w:p w14:paraId="0CBE7E15">
      <w:pPr>
        <w:tabs>
          <w:tab w:val="left" w:pos="1379"/>
        </w:tabs>
        <w:spacing w:line="360" w:lineRule="auto"/>
        <w:ind w:firstLine="560" w:firstLineChars="200"/>
        <w:rPr>
          <w:rFonts w:hint="eastAsia" w:ascii="仿宋" w:hAnsi="仿宋" w:eastAsia="仿宋" w:cs="仿宋"/>
          <w:kern w:val="2"/>
          <w:sz w:val="28"/>
          <w:szCs w:val="28"/>
          <w:highlight w:val="none"/>
        </w:rPr>
      </w:pPr>
      <w:bookmarkStart w:id="4" w:name="_Toc20908"/>
      <w:bookmarkStart w:id="5" w:name="_Toc4621"/>
      <w:bookmarkStart w:id="6" w:name="_Toc24758"/>
      <w:bookmarkStart w:id="7" w:name="_Toc22213"/>
      <w:r>
        <w:rPr>
          <w:rFonts w:hint="eastAsia" w:ascii="仿宋" w:hAnsi="仿宋" w:eastAsia="仿宋" w:cs="仿宋"/>
          <w:kern w:val="2"/>
          <w:sz w:val="28"/>
          <w:szCs w:val="28"/>
          <w:highlight w:val="none"/>
        </w:rPr>
        <w:t>乙方根据甲方安排</w:t>
      </w:r>
      <w:bookmarkEnd w:id="4"/>
      <w:r>
        <w:rPr>
          <w:rFonts w:hint="eastAsia" w:ascii="仿宋" w:hAnsi="仿宋" w:eastAsia="仿宋" w:cs="仿宋"/>
          <w:kern w:val="2"/>
          <w:sz w:val="28"/>
          <w:szCs w:val="28"/>
          <w:highlight w:val="none"/>
        </w:rPr>
        <w:t>负责完成电子卷宗随案生成加工和结案归档档案数字化加工等服务工作，包括在案件受理时接收或办理过程中形成的电子文档、图像、音频、视频等电子文件，以及将纸质案卷材料依托数字影像、文字识别等技术制作而成的电子文档、数据等电子文件。</w:t>
      </w:r>
    </w:p>
    <w:p w14:paraId="02F7B690">
      <w:pPr>
        <w:tabs>
          <w:tab w:val="left" w:pos="1379"/>
        </w:tabs>
        <w:spacing w:line="360" w:lineRule="auto"/>
        <w:outlineLvl w:val="1"/>
        <w:rPr>
          <w:rFonts w:hint="eastAsia" w:ascii="仿宋" w:hAnsi="仿宋" w:eastAsia="仿宋" w:cs="仿宋"/>
          <w:b/>
          <w:sz w:val="28"/>
          <w:szCs w:val="28"/>
          <w:highlight w:val="none"/>
        </w:rPr>
      </w:pPr>
      <w:bookmarkStart w:id="8" w:name="_Toc31818"/>
      <w:r>
        <w:rPr>
          <w:rFonts w:hint="eastAsia" w:ascii="仿宋" w:hAnsi="仿宋" w:eastAsia="仿宋" w:cs="仿宋"/>
          <w:b/>
          <w:sz w:val="28"/>
          <w:szCs w:val="28"/>
          <w:highlight w:val="none"/>
        </w:rPr>
        <w:t>第二条 合同价款</w:t>
      </w:r>
      <w:bookmarkEnd w:id="5"/>
      <w:bookmarkEnd w:id="6"/>
      <w:bookmarkEnd w:id="7"/>
      <w:bookmarkEnd w:id="8"/>
    </w:p>
    <w:p w14:paraId="74235800">
      <w:pPr>
        <w:pStyle w:val="13"/>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1.合同总价款为人民币</w:t>
      </w:r>
      <w:r>
        <w:rPr>
          <w:rFonts w:hint="eastAsia" w:ascii="仿宋" w:hAnsi="仿宋" w:eastAsia="仿宋" w:cs="仿宋"/>
          <w:sz w:val="28"/>
          <w:szCs w:val="28"/>
          <w:highlight w:val="none"/>
          <w:u w:val="single"/>
        </w:rPr>
        <w:t xml:space="preserve">（大写）：               ，￥              </w:t>
      </w:r>
    </w:p>
    <w:p w14:paraId="0AF3DFDB">
      <w:pPr>
        <w:pStyle w:val="13"/>
        <w:spacing w:line="360" w:lineRule="auto"/>
        <w:ind w:firstLine="48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2.本项目合同总价款由以下组成：</w:t>
      </w:r>
      <w:r>
        <w:rPr>
          <w:rFonts w:hint="eastAsia" w:ascii="仿宋" w:hAnsi="仿宋" w:eastAsia="仿宋" w:cs="仿宋"/>
          <w:sz w:val="28"/>
          <w:szCs w:val="28"/>
          <w:highlight w:val="none"/>
          <w:u w:val="single"/>
        </w:rPr>
        <w:t xml:space="preserve">                    </w:t>
      </w:r>
    </w:p>
    <w:p w14:paraId="48DF95AC">
      <w:pPr>
        <w:pStyle w:val="13"/>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3.甲方无须另向乙方支付本合同规定之外的其他任何费用</w:t>
      </w:r>
    </w:p>
    <w:p w14:paraId="447DBB67">
      <w:pPr>
        <w:pStyle w:val="13"/>
        <w:snapToGrid w:val="0"/>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4.履约保证金：/</w:t>
      </w:r>
    </w:p>
    <w:p w14:paraId="268B490B">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9" w:name="_Toc23966"/>
      <w:bookmarkStart w:id="10" w:name="_Toc242"/>
      <w:bookmarkStart w:id="11" w:name="_Toc26962"/>
      <w:bookmarkStart w:id="12" w:name="_Toc4425"/>
      <w:r>
        <w:rPr>
          <w:rFonts w:hint="eastAsia" w:ascii="仿宋" w:hAnsi="仿宋" w:eastAsia="仿宋" w:cs="仿宋"/>
          <w:b/>
          <w:sz w:val="28"/>
          <w:szCs w:val="28"/>
          <w:highlight w:val="none"/>
        </w:rPr>
        <w:t>第三条  付款方式、时间及条件</w:t>
      </w:r>
      <w:bookmarkEnd w:id="9"/>
      <w:bookmarkEnd w:id="10"/>
      <w:bookmarkEnd w:id="11"/>
      <w:bookmarkEnd w:id="12"/>
    </w:p>
    <w:p w14:paraId="33FC9B04">
      <w:pPr>
        <w:widowControl w:val="0"/>
        <w:tabs>
          <w:tab w:val="left" w:pos="1379"/>
        </w:tabs>
        <w:snapToGrid w:val="0"/>
        <w:spacing w:line="360" w:lineRule="auto"/>
        <w:ind w:firstLine="560" w:firstLineChars="200"/>
        <w:rPr>
          <w:rStyle w:val="10"/>
          <w:rFonts w:hint="eastAsia" w:ascii="仿宋" w:hAnsi="仿宋" w:eastAsia="仿宋" w:cs="仿宋"/>
          <w:b w:val="0"/>
          <w:sz w:val="28"/>
          <w:szCs w:val="28"/>
          <w:highlight w:val="none"/>
          <w:u w:val="single"/>
        </w:rPr>
      </w:pPr>
      <w:bookmarkStart w:id="13" w:name="_Toc15165"/>
      <w:bookmarkStart w:id="14" w:name="_Toc16037"/>
      <w:bookmarkStart w:id="15" w:name="_Toc32672"/>
      <w:r>
        <w:rPr>
          <w:rStyle w:val="10"/>
          <w:rFonts w:hint="eastAsia" w:ascii="仿宋" w:hAnsi="仿宋" w:eastAsia="仿宋" w:cs="仿宋"/>
          <w:b w:val="0"/>
          <w:sz w:val="28"/>
          <w:szCs w:val="28"/>
          <w:highlight w:val="none"/>
          <w:u w:val="single"/>
        </w:rPr>
        <w:t>采购包1： 付款条件说明： 合同签订后 ，达到付款条件起10日内，支付合同总金额的60.00%。</w:t>
      </w:r>
    </w:p>
    <w:p w14:paraId="263E0F43">
      <w:pPr>
        <w:widowControl w:val="0"/>
        <w:tabs>
          <w:tab w:val="left" w:pos="1379"/>
        </w:tabs>
        <w:snapToGrid w:val="0"/>
        <w:spacing w:line="360" w:lineRule="auto"/>
        <w:ind w:firstLine="560" w:firstLineChars="200"/>
        <w:rPr>
          <w:rStyle w:val="10"/>
          <w:rFonts w:hint="eastAsia" w:ascii="仿宋" w:hAnsi="仿宋" w:eastAsia="仿宋" w:cs="仿宋"/>
          <w:b w:val="0"/>
          <w:sz w:val="28"/>
          <w:szCs w:val="28"/>
          <w:highlight w:val="none"/>
          <w:u w:val="single"/>
        </w:rPr>
      </w:pPr>
      <w:r>
        <w:rPr>
          <w:rStyle w:val="10"/>
          <w:rFonts w:hint="eastAsia" w:ascii="仿宋" w:hAnsi="仿宋" w:eastAsia="仿宋" w:cs="仿宋"/>
          <w:b w:val="0"/>
          <w:sz w:val="28"/>
          <w:szCs w:val="28"/>
          <w:highlight w:val="none"/>
          <w:u w:val="single"/>
        </w:rPr>
        <w:t>采购包1： 付款条件说明：相关服务工作完成经采购人验收合格后。达到付款条件起10日内，支付合同总金额的40.00%。</w:t>
      </w:r>
    </w:p>
    <w:p w14:paraId="22871A34">
      <w:pPr>
        <w:widowControl w:val="0"/>
        <w:tabs>
          <w:tab w:val="left" w:pos="1379"/>
        </w:tabs>
        <w:snapToGrid w:val="0"/>
        <w:spacing w:line="36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第四条 服务期、地点、方式</w:t>
      </w:r>
      <w:bookmarkEnd w:id="13"/>
      <w:bookmarkEnd w:id="14"/>
      <w:bookmarkEnd w:id="15"/>
    </w:p>
    <w:p w14:paraId="3405124F">
      <w:pPr>
        <w:spacing w:line="360" w:lineRule="auto"/>
        <w:ind w:firstLine="560" w:firstLineChars="200"/>
        <w:rPr>
          <w:rFonts w:hint="eastAsia" w:ascii="仿宋" w:hAnsi="仿宋" w:eastAsia="仿宋" w:cs="仿宋"/>
          <w:sz w:val="28"/>
          <w:szCs w:val="28"/>
          <w:highlight w:val="none"/>
        </w:rPr>
      </w:pPr>
      <w:bookmarkStart w:id="16" w:name="_Toc238984975"/>
      <w:bookmarkStart w:id="17" w:name="_Toc286993786"/>
      <w:bookmarkStart w:id="18" w:name="_Toc225244852"/>
      <w:bookmarkStart w:id="19" w:name="_Toc185395249"/>
      <w:bookmarkStart w:id="20" w:name="_Toc247334841"/>
      <w:bookmarkStart w:id="21" w:name="_Toc225654644"/>
      <w:bookmarkStart w:id="22" w:name="_Toc251768862"/>
      <w:bookmarkStart w:id="23" w:name="_Toc239568418"/>
      <w:bookmarkStart w:id="24" w:name="_Toc211854449"/>
      <w:bookmarkStart w:id="25" w:name="_Toc283019214"/>
      <w:bookmarkStart w:id="26" w:name="_Toc282696226"/>
      <w:bookmarkStart w:id="27" w:name="_Toc225670751"/>
      <w:bookmarkStart w:id="28" w:name="_Toc232492928"/>
      <w:bookmarkStart w:id="29" w:name="_Toc241833903"/>
      <w:bookmarkStart w:id="30" w:name="_Toc212019594"/>
      <w:bookmarkStart w:id="31" w:name="_Toc239233914"/>
      <w:bookmarkStart w:id="32" w:name="_Toc237145406"/>
      <w:bookmarkStart w:id="33" w:name="_Toc211911348"/>
      <w:r>
        <w:rPr>
          <w:rFonts w:hint="eastAsia" w:ascii="仿宋" w:hAnsi="仿宋" w:eastAsia="仿宋" w:cs="仿宋"/>
          <w:sz w:val="28"/>
          <w:szCs w:val="28"/>
          <w:highlight w:val="none"/>
        </w:rPr>
        <w:t>1.服务期：自合同签订之日起一年。</w:t>
      </w:r>
    </w:p>
    <w:p w14:paraId="419C3D3C">
      <w:pPr>
        <w:widowControl w:val="0"/>
        <w:tabs>
          <w:tab w:val="left" w:pos="1379"/>
        </w:tabs>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2.交付地点：</w:t>
      </w:r>
      <w:r>
        <w:rPr>
          <w:rFonts w:hint="eastAsia" w:ascii="仿宋" w:hAnsi="仿宋" w:eastAsia="仿宋" w:cs="仿宋"/>
          <w:sz w:val="28"/>
          <w:szCs w:val="28"/>
          <w:highlight w:val="none"/>
          <w:u w:val="single"/>
        </w:rPr>
        <w:t xml:space="preserve">甲方指定地点                          </w:t>
      </w:r>
    </w:p>
    <w:p w14:paraId="21E60D27">
      <w:pPr>
        <w:pStyle w:val="11"/>
        <w:widowControl w:val="0"/>
        <w:snapToGrid w:val="0"/>
        <w:spacing w:line="360" w:lineRule="auto"/>
        <w:ind w:firstLine="560"/>
        <w:rPr>
          <w:rFonts w:hint="eastAsia"/>
          <w:sz w:val="28"/>
          <w:szCs w:val="28"/>
          <w:highlight w:val="none"/>
          <w:u w:val="single"/>
          <w:lang w:val="en-US"/>
        </w:rPr>
      </w:pPr>
      <w:r>
        <w:rPr>
          <w:rFonts w:hint="eastAsia"/>
          <w:sz w:val="28"/>
          <w:szCs w:val="28"/>
          <w:highlight w:val="none"/>
          <w:lang w:val="en-US"/>
        </w:rPr>
        <w:t>3.交付条件：</w:t>
      </w:r>
      <w:r>
        <w:rPr>
          <w:rFonts w:hint="eastAsia"/>
          <w:sz w:val="28"/>
          <w:szCs w:val="28"/>
          <w:highlight w:val="none"/>
          <w:u w:val="single"/>
        </w:rPr>
        <w:t>本次所有服务工作完成</w:t>
      </w:r>
      <w:r>
        <w:rPr>
          <w:rFonts w:hint="eastAsia"/>
          <w:sz w:val="28"/>
          <w:szCs w:val="28"/>
          <w:highlight w:val="none"/>
          <w:u w:val="single"/>
          <w:lang w:val="en-US"/>
        </w:rPr>
        <w:t xml:space="preserve">                   </w:t>
      </w:r>
    </w:p>
    <w:p w14:paraId="1193494B">
      <w:pPr>
        <w:pStyle w:val="11"/>
        <w:widowControl w:val="0"/>
        <w:snapToGrid w:val="0"/>
        <w:spacing w:line="360" w:lineRule="auto"/>
        <w:ind w:firstLine="560"/>
        <w:rPr>
          <w:rFonts w:hint="eastAsia"/>
          <w:sz w:val="28"/>
          <w:szCs w:val="28"/>
          <w:highlight w:val="none"/>
          <w:u w:val="single"/>
          <w:lang w:val="en-US"/>
        </w:rPr>
      </w:pPr>
      <w:r>
        <w:rPr>
          <w:rFonts w:hint="eastAsia"/>
          <w:sz w:val="28"/>
          <w:szCs w:val="28"/>
          <w:highlight w:val="none"/>
          <w:lang w:val="en-US"/>
        </w:rPr>
        <w:t>甲方联系人：</w:t>
      </w:r>
      <w:r>
        <w:rPr>
          <w:rFonts w:hint="eastAsia"/>
          <w:sz w:val="28"/>
          <w:szCs w:val="28"/>
          <w:highlight w:val="none"/>
          <w:u w:val="single"/>
          <w:lang w:val="en-US"/>
        </w:rPr>
        <w:t xml:space="preserve">      （姓名，联系方式）              </w:t>
      </w:r>
      <w:r>
        <w:rPr>
          <w:rFonts w:hint="eastAsia"/>
          <w:sz w:val="28"/>
          <w:szCs w:val="28"/>
          <w:highlight w:val="none"/>
          <w:lang w:val="en-US"/>
        </w:rPr>
        <w:t xml:space="preserve"> </w:t>
      </w:r>
    </w:p>
    <w:p w14:paraId="5A6F7798">
      <w:pPr>
        <w:pStyle w:val="11"/>
        <w:widowControl w:val="0"/>
        <w:snapToGrid w:val="0"/>
        <w:spacing w:line="360" w:lineRule="auto"/>
        <w:ind w:firstLine="560"/>
        <w:rPr>
          <w:rFonts w:hint="eastAsia"/>
          <w:b/>
          <w:sz w:val="28"/>
          <w:szCs w:val="28"/>
          <w:highlight w:val="none"/>
        </w:rPr>
      </w:pPr>
      <w:r>
        <w:rPr>
          <w:rFonts w:hint="eastAsia"/>
          <w:sz w:val="28"/>
          <w:szCs w:val="28"/>
          <w:highlight w:val="none"/>
          <w:lang w:val="en-US"/>
        </w:rPr>
        <w:t>乙方联系人：</w:t>
      </w:r>
      <w:r>
        <w:rPr>
          <w:rFonts w:hint="eastAsia"/>
          <w:sz w:val="28"/>
          <w:szCs w:val="28"/>
          <w:highlight w:val="none"/>
          <w:u w:val="single"/>
          <w:lang w:val="en-US"/>
        </w:rPr>
        <w:t xml:space="preserve">      （姓名，联系方式）              </w:t>
      </w:r>
      <w:r>
        <w:rPr>
          <w:rFonts w:hint="eastAsia"/>
          <w:sz w:val="28"/>
          <w:szCs w:val="28"/>
          <w:highlight w:val="none"/>
          <w:lang w:val="en-US"/>
        </w:rPr>
        <w:t xml:space="preserve"> </w:t>
      </w:r>
    </w:p>
    <w:p w14:paraId="014BE8A6">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34" w:name="_Toc32659"/>
      <w:bookmarkStart w:id="35" w:name="_Toc2585"/>
      <w:bookmarkStart w:id="36" w:name="_Toc28705"/>
      <w:bookmarkStart w:id="37" w:name="_Toc19538"/>
      <w:r>
        <w:rPr>
          <w:rFonts w:hint="eastAsia" w:ascii="仿宋" w:hAnsi="仿宋" w:eastAsia="仿宋" w:cs="仿宋"/>
          <w:b/>
          <w:sz w:val="28"/>
          <w:szCs w:val="28"/>
          <w:highlight w:val="none"/>
        </w:rPr>
        <w:t>第五条 质量保证及售后服务</w:t>
      </w:r>
      <w:bookmarkEnd w:id="34"/>
      <w:bookmarkEnd w:id="35"/>
      <w:bookmarkEnd w:id="36"/>
      <w:bookmarkEnd w:id="37"/>
    </w:p>
    <w:p w14:paraId="5828E765">
      <w:pPr>
        <w:pStyle w:val="13"/>
        <w:snapToGrid w:val="0"/>
        <w:spacing w:line="360" w:lineRule="auto"/>
        <w:ind w:firstLine="560" w:firstLineChars="200"/>
        <w:rPr>
          <w:rFonts w:hint="eastAsia" w:ascii="仿宋" w:hAnsi="仿宋" w:eastAsia="仿宋" w:cs="仿宋"/>
          <w:kern w:val="2"/>
          <w:sz w:val="28"/>
          <w:szCs w:val="28"/>
          <w:highlight w:val="none"/>
        </w:rPr>
      </w:pPr>
      <w:r>
        <w:rPr>
          <w:rFonts w:hint="eastAsia" w:ascii="仿宋" w:hAnsi="仿宋" w:eastAsia="仿宋" w:cs="仿宋"/>
          <w:sz w:val="28"/>
          <w:szCs w:val="28"/>
          <w:highlight w:val="none"/>
        </w:rPr>
        <w:t>质量保证：乙方应保证所提供的服务，符合甲方的要求。如不符时，乙方应负全责并尽快处理解决，由此造成的损失和相关费用由乙方负责，甲方保留终止合同及索赔的权利。</w:t>
      </w:r>
      <w:r>
        <w:rPr>
          <w:rFonts w:hint="eastAsia" w:ascii="仿宋" w:hAnsi="仿宋" w:eastAsia="仿宋" w:cs="仿宋"/>
          <w:kern w:val="2"/>
          <w:sz w:val="28"/>
          <w:szCs w:val="28"/>
          <w:highlight w:val="none"/>
        </w:rPr>
        <w:t>服务期间如因乙方过失或疏忽发生意外事故，导致甲乙双方或其他第三方人身伤亡或财产损失等，均由乙方承担全部责任。</w:t>
      </w:r>
    </w:p>
    <w:p w14:paraId="3441E549">
      <w:pPr>
        <w:pStyle w:val="13"/>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kern w:val="2"/>
          <w:sz w:val="28"/>
          <w:szCs w:val="28"/>
          <w:highlight w:val="none"/>
        </w:rPr>
        <w:t>数据对接：</w:t>
      </w:r>
      <w:r>
        <w:rPr>
          <w:rFonts w:hint="eastAsia" w:ascii="仿宋" w:hAnsi="仿宋" w:eastAsia="仿宋" w:cs="仿宋"/>
          <w:kern w:val="2"/>
          <w:sz w:val="28"/>
          <w:szCs w:val="28"/>
          <w:highlight w:val="none"/>
        </w:rPr>
        <w:t>该服务所需的各种辅助信息系统需与全国法院“一张网”系统进行数据对接，实现数据互联互通，投标人应在中标后30日内与全国法院“一张网”系统实现数据对接，如30日内未完成上述系统对接工作，产生的一切后果由中标方承担。甲方保留终止合同和索赔的权利。</w:t>
      </w:r>
    </w:p>
    <w:p w14:paraId="5F05ED6C">
      <w:pPr>
        <w:pStyle w:val="13"/>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售后服务：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p>
    <w:p w14:paraId="01722227">
      <w:pPr>
        <w:pStyle w:val="13"/>
        <w:numPr>
          <w:ilvl w:val="0"/>
          <w:numId w:val="2"/>
        </w:numPr>
        <w:snapToGrid w:val="0"/>
        <w:spacing w:line="360" w:lineRule="auto"/>
        <w:ind w:firstLine="562" w:firstLineChars="200"/>
        <w:outlineLvl w:val="1"/>
        <w:rPr>
          <w:rFonts w:hint="eastAsia" w:ascii="仿宋" w:hAnsi="仿宋" w:eastAsia="仿宋" w:cs="仿宋"/>
          <w:b/>
          <w:sz w:val="28"/>
          <w:szCs w:val="28"/>
          <w:highlight w:val="none"/>
        </w:rPr>
      </w:pPr>
      <w:r>
        <w:rPr>
          <w:rFonts w:hint="eastAsia" w:ascii="仿宋" w:hAnsi="仿宋" w:eastAsia="仿宋" w:cs="仿宋"/>
          <w:b/>
          <w:sz w:val="28"/>
          <w:szCs w:val="28"/>
          <w:highlight w:val="none"/>
        </w:rPr>
        <w:t xml:space="preserve"> </w:t>
      </w:r>
      <w:bookmarkStart w:id="38" w:name="_Toc4471"/>
      <w:bookmarkStart w:id="39" w:name="_Toc27776"/>
      <w:bookmarkStart w:id="40" w:name="_Toc11338"/>
      <w:bookmarkStart w:id="41" w:name="_Toc29909"/>
      <w:r>
        <w:rPr>
          <w:rFonts w:hint="eastAsia" w:ascii="仿宋" w:hAnsi="仿宋" w:eastAsia="仿宋" w:cs="仿宋"/>
          <w:b/>
          <w:sz w:val="28"/>
          <w:szCs w:val="28"/>
          <w:highlight w:val="none"/>
        </w:rPr>
        <w:t>验收</w:t>
      </w:r>
      <w:bookmarkEnd w:id="38"/>
      <w:bookmarkEnd w:id="39"/>
      <w:bookmarkEnd w:id="40"/>
      <w:bookmarkEnd w:id="41"/>
    </w:p>
    <w:p w14:paraId="1294E473">
      <w:pPr>
        <w:pStyle w:val="13"/>
        <w:snapToGrid w:val="0"/>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1.电子卷宗数字化扫描服务的验收以交接清单为准，首先对照移交清单清点卷宗数量，然后抽取每个验收批次总卷数的不低于5%对卷宗整理、装订质量、进行验收。扫描卷宗的验收，首先对扫描页数进行核实，然后日常抽取每个验收批次总卷数的不低于5%，检查扫描卷宗的索引信息、扫描图像的质量、页级别设置、扫描卷宗与纸质卷宗的一致性。</w:t>
      </w:r>
    </w:p>
    <w:p w14:paraId="750CBEAE">
      <w:pPr>
        <w:pStyle w:val="13"/>
        <w:snapToGrid w:val="0"/>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2.验收依据：合同、招标文件、投标文件、澄清 (如有)。</w:t>
      </w:r>
    </w:p>
    <w:p w14:paraId="04FC19AE">
      <w:pPr>
        <w:pStyle w:val="13"/>
        <w:numPr>
          <w:ilvl w:val="0"/>
          <w:numId w:val="2"/>
        </w:numPr>
        <w:snapToGrid w:val="0"/>
        <w:spacing w:line="360" w:lineRule="auto"/>
        <w:ind w:firstLine="562" w:firstLineChars="200"/>
        <w:outlineLvl w:val="1"/>
        <w:rPr>
          <w:rFonts w:hint="eastAsia" w:ascii="仿宋" w:hAnsi="仿宋" w:eastAsia="仿宋" w:cs="仿宋"/>
          <w:b/>
          <w:sz w:val="28"/>
          <w:szCs w:val="28"/>
          <w:highlight w:val="none"/>
        </w:rPr>
      </w:pPr>
      <w:bookmarkStart w:id="42" w:name="_Toc19571"/>
      <w:bookmarkStart w:id="43" w:name="_Toc1943"/>
      <w:bookmarkStart w:id="44" w:name="_Toc24822"/>
      <w:r>
        <w:rPr>
          <w:rFonts w:hint="eastAsia" w:ascii="仿宋" w:hAnsi="仿宋" w:eastAsia="仿宋" w:cs="仿宋"/>
          <w:b/>
          <w:sz w:val="28"/>
          <w:szCs w:val="28"/>
          <w:highlight w:val="none"/>
        </w:rPr>
        <w:t xml:space="preserve"> </w:t>
      </w:r>
      <w:bookmarkStart w:id="45" w:name="_Toc15568"/>
      <w:r>
        <w:rPr>
          <w:rFonts w:hint="eastAsia" w:ascii="仿宋" w:hAnsi="仿宋" w:eastAsia="仿宋" w:cs="仿宋"/>
          <w:b/>
          <w:sz w:val="28"/>
          <w:szCs w:val="28"/>
          <w:highlight w:val="none"/>
        </w:rPr>
        <w:t>无产权瑕疵条款</w:t>
      </w:r>
      <w:bookmarkEnd w:id="42"/>
      <w:bookmarkEnd w:id="43"/>
      <w:bookmarkEnd w:id="44"/>
      <w:bookmarkEnd w:id="45"/>
    </w:p>
    <w:p w14:paraId="5671D8D7">
      <w:pPr>
        <w:pStyle w:val="13"/>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乙方保证所提供的服务的所有权完全属于乙方且无任何抵押、查封等产权瑕疵。如有产权瑕疵的，视为乙方违约。乙方应负担由此而产生的一切损失。</w:t>
      </w:r>
    </w:p>
    <w:p w14:paraId="68988586">
      <w:pPr>
        <w:pStyle w:val="13"/>
        <w:numPr>
          <w:ilvl w:val="0"/>
          <w:numId w:val="2"/>
        </w:numPr>
        <w:snapToGrid w:val="0"/>
        <w:spacing w:line="360" w:lineRule="auto"/>
        <w:ind w:firstLine="562" w:firstLineChars="200"/>
        <w:outlineLvl w:val="1"/>
        <w:rPr>
          <w:rFonts w:hint="eastAsia" w:ascii="仿宋" w:hAnsi="仿宋" w:eastAsia="仿宋" w:cs="仿宋"/>
          <w:b/>
          <w:sz w:val="28"/>
          <w:szCs w:val="28"/>
          <w:highlight w:val="none"/>
        </w:rPr>
      </w:pPr>
      <w:bookmarkStart w:id="46" w:name="_Toc12634"/>
      <w:bookmarkStart w:id="47" w:name="_Toc6497"/>
      <w:bookmarkStart w:id="48" w:name="_Toc9603"/>
      <w:r>
        <w:rPr>
          <w:rFonts w:hint="eastAsia" w:ascii="仿宋" w:hAnsi="仿宋" w:eastAsia="仿宋" w:cs="仿宋"/>
          <w:b/>
          <w:sz w:val="28"/>
          <w:szCs w:val="28"/>
          <w:highlight w:val="none"/>
        </w:rPr>
        <w:t xml:space="preserve"> </w:t>
      </w:r>
      <w:bookmarkStart w:id="49" w:name="_Toc15372"/>
      <w:r>
        <w:rPr>
          <w:rFonts w:hint="eastAsia" w:ascii="仿宋" w:hAnsi="仿宋" w:eastAsia="仿宋" w:cs="仿宋"/>
          <w:b/>
          <w:sz w:val="28"/>
          <w:szCs w:val="28"/>
          <w:highlight w:val="none"/>
        </w:rPr>
        <w:t>甲方的权利和义务</w:t>
      </w:r>
      <w:bookmarkEnd w:id="46"/>
      <w:bookmarkEnd w:id="47"/>
      <w:bookmarkEnd w:id="48"/>
      <w:bookmarkEnd w:id="49"/>
    </w:p>
    <w:p w14:paraId="3E474237">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4EC41E55">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2.甲方有权依据双方签订的考评办法对乙方提供的服务进行定期考评。当考评结果未达到标准时，有权依据考评办法约定的数额扣除履约保证金。</w:t>
      </w:r>
    </w:p>
    <w:p w14:paraId="54CC815D">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3.负责检查监督乙方管理工作的实施及制度的执行情况。</w:t>
      </w:r>
    </w:p>
    <w:p w14:paraId="448BA87F">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4.根据本合同规定，按时向乙方支付应付服务费用。</w:t>
      </w:r>
    </w:p>
    <w:p w14:paraId="3CCBF690">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5.国家法律法规所规定由甲方承担的其它责任。</w:t>
      </w:r>
    </w:p>
    <w:p w14:paraId="77BED7C3">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50" w:name="_Toc7157"/>
      <w:bookmarkStart w:id="51" w:name="_Toc10390"/>
      <w:bookmarkStart w:id="52" w:name="_Toc3456"/>
      <w:bookmarkStart w:id="53" w:name="_Toc12376"/>
      <w:r>
        <w:rPr>
          <w:rFonts w:hint="eastAsia" w:ascii="仿宋" w:hAnsi="仿宋" w:eastAsia="仿宋" w:cs="仿宋"/>
          <w:b/>
          <w:sz w:val="28"/>
          <w:szCs w:val="28"/>
          <w:highlight w:val="none"/>
        </w:rPr>
        <w:t>第九条  乙方的权利和义务</w:t>
      </w:r>
      <w:bookmarkEnd w:id="50"/>
      <w:bookmarkEnd w:id="51"/>
      <w:bookmarkEnd w:id="52"/>
      <w:bookmarkEnd w:id="53"/>
    </w:p>
    <w:p w14:paraId="6F6851CB">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1.对本合同规定的委托服务范围内的项目享有管理权及服务义务。</w:t>
      </w:r>
    </w:p>
    <w:p w14:paraId="1016BFA0">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2.根据本合同的规定向甲方收取相关服务费用，并有权在本项目管理范围内管理及合理使用。</w:t>
      </w:r>
    </w:p>
    <w:p w14:paraId="53C21FBC">
      <w:pPr>
        <w:snapToGrid w:val="0"/>
        <w:spacing w:line="360" w:lineRule="auto"/>
        <w:ind w:firstLine="560" w:firstLineChars="200"/>
        <w:textAlignment w:val="baseline"/>
        <w:rPr>
          <w:rFonts w:hint="eastAsia" w:ascii="仿宋" w:hAnsi="仿宋" w:eastAsia="仿宋" w:cs="仿宋"/>
          <w:sz w:val="28"/>
          <w:szCs w:val="28"/>
          <w:highlight w:val="none"/>
        </w:rPr>
      </w:pPr>
      <w:r>
        <w:rPr>
          <w:rFonts w:hint="eastAsia" w:ascii="仿宋" w:hAnsi="仿宋" w:eastAsia="仿宋" w:cs="仿宋"/>
          <w:sz w:val="28"/>
          <w:szCs w:val="28"/>
          <w:highlight w:val="none"/>
        </w:rPr>
        <w:t>3.及时向甲方通告本项目服务范围内有关服务的重大事项，及时配合处理投诉。</w:t>
      </w:r>
    </w:p>
    <w:p w14:paraId="59485B7E">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sz w:val="28"/>
          <w:szCs w:val="28"/>
          <w:highlight w:val="none"/>
        </w:rPr>
        <w:t>4.</w:t>
      </w:r>
      <w:r>
        <w:rPr>
          <w:rFonts w:hint="eastAsia" w:ascii="仿宋" w:hAnsi="仿宋" w:eastAsia="仿宋" w:cs="仿宋"/>
          <w:bCs/>
          <w:sz w:val="28"/>
          <w:szCs w:val="28"/>
          <w:highlight w:val="none"/>
        </w:rPr>
        <w:t>接受项目行业管理部门及政府有关部门的指导，接受甲方的监督。</w:t>
      </w:r>
    </w:p>
    <w:p w14:paraId="47EAD5B4">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5.国家法律法规所规定由乙方承担的其它责任。</w:t>
      </w:r>
    </w:p>
    <w:p w14:paraId="17152792">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54" w:name="_Toc29819"/>
      <w:bookmarkStart w:id="55" w:name="_Toc28060"/>
      <w:bookmarkStart w:id="56" w:name="_Toc26868"/>
      <w:bookmarkStart w:id="57" w:name="_Toc19456"/>
      <w:r>
        <w:rPr>
          <w:rFonts w:hint="eastAsia" w:ascii="仿宋" w:hAnsi="仿宋" w:eastAsia="仿宋" w:cs="仿宋"/>
          <w:b/>
          <w:sz w:val="28"/>
          <w:szCs w:val="28"/>
          <w:highlight w:val="none"/>
        </w:rPr>
        <w:t>第十条  违约责任</w:t>
      </w:r>
      <w:bookmarkEnd w:id="54"/>
      <w:bookmarkEnd w:id="55"/>
      <w:bookmarkEnd w:id="56"/>
      <w:bookmarkEnd w:id="57"/>
    </w:p>
    <w:p w14:paraId="219BC2F7">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1.甲乙双方必须遵守本合同并执行合同中的各项规定，保证本合同的正常履行。</w:t>
      </w:r>
    </w:p>
    <w:p w14:paraId="6F9336AC">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2.依据《中华人民共和国民法典》《中华人民共和国政府采购法》的相关条款规定和本合同约定，乙方未全面履行合同义务或者发生违约，甲方有权终止合同，依法向乙方进行经济索赔，并报请政府采购监督管理机关依法进行相应的行政处罚。甲方违约的，应当赔偿给乙方造成的经济损失。</w:t>
      </w:r>
    </w:p>
    <w:p w14:paraId="7DA5667B">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58" w:name="_Toc18958"/>
      <w:bookmarkStart w:id="59" w:name="_Toc20912"/>
      <w:bookmarkStart w:id="60" w:name="_Toc13266"/>
      <w:bookmarkStart w:id="61" w:name="_Toc20006"/>
      <w:r>
        <w:rPr>
          <w:rFonts w:hint="eastAsia" w:ascii="仿宋" w:hAnsi="仿宋" w:eastAsia="仿宋" w:cs="仿宋"/>
          <w:b/>
          <w:sz w:val="28"/>
          <w:szCs w:val="28"/>
          <w:highlight w:val="none"/>
        </w:rPr>
        <w:t>第十一条  不可抗力事件处理</w:t>
      </w:r>
      <w:bookmarkEnd w:id="58"/>
      <w:bookmarkEnd w:id="59"/>
      <w:bookmarkEnd w:id="60"/>
      <w:bookmarkEnd w:id="61"/>
    </w:p>
    <w:p w14:paraId="4D598294">
      <w:pPr>
        <w:tabs>
          <w:tab w:val="left" w:pos="0"/>
        </w:tabs>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1.在合同有效期内，任何一方因不可抗力事件导致不能履行合同，则合同履行期可延长，其延长期与不可抗力影响期相同。</w:t>
      </w:r>
    </w:p>
    <w:p w14:paraId="7DF35861">
      <w:pPr>
        <w:tabs>
          <w:tab w:val="left" w:pos="0"/>
        </w:tabs>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2.不可抗力事件发生后，应立即通知对方，并寄送有关权威机构出具的证明。</w:t>
      </w:r>
    </w:p>
    <w:p w14:paraId="7B9281A9">
      <w:pPr>
        <w:tabs>
          <w:tab w:val="left" w:pos="0"/>
        </w:tabs>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3.不可抗力事件延续30天以上，双方应通过友好协商，确定是否继续履行合同。</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E853D7C">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62" w:name="_Toc30380"/>
      <w:bookmarkStart w:id="63" w:name="_Toc25202"/>
      <w:bookmarkStart w:id="64" w:name="_Toc13911"/>
      <w:bookmarkStart w:id="65" w:name="_Toc4055"/>
      <w:bookmarkStart w:id="66" w:name="_Toc225244857"/>
      <w:bookmarkStart w:id="67" w:name="_Toc232492933"/>
      <w:bookmarkStart w:id="68" w:name="_Toc185395254"/>
      <w:bookmarkStart w:id="69" w:name="_Toc286993792"/>
      <w:bookmarkStart w:id="70" w:name="_Toc247334846"/>
      <w:bookmarkStart w:id="71" w:name="_Toc239568423"/>
      <w:bookmarkStart w:id="72" w:name="_Toc251768867"/>
      <w:bookmarkStart w:id="73" w:name="_Toc237145411"/>
      <w:bookmarkStart w:id="74" w:name="_Toc225654649"/>
      <w:bookmarkStart w:id="75" w:name="_Toc239233919"/>
      <w:bookmarkStart w:id="76" w:name="_Toc211854454"/>
      <w:bookmarkStart w:id="77" w:name="_Toc212019599"/>
      <w:bookmarkStart w:id="78" w:name="_Toc225670756"/>
      <w:bookmarkStart w:id="79" w:name="_Toc238984980"/>
      <w:bookmarkStart w:id="80" w:name="_Toc211911353"/>
      <w:bookmarkStart w:id="81" w:name="_Toc241833908"/>
      <w:r>
        <w:rPr>
          <w:rFonts w:hint="eastAsia" w:ascii="仿宋" w:hAnsi="仿宋" w:eastAsia="仿宋" w:cs="仿宋"/>
          <w:b/>
          <w:sz w:val="28"/>
          <w:szCs w:val="28"/>
          <w:highlight w:val="none"/>
        </w:rPr>
        <w:t>第十二条  合同的变更和终止</w:t>
      </w:r>
      <w:bookmarkEnd w:id="62"/>
      <w:bookmarkEnd w:id="63"/>
      <w:bookmarkEnd w:id="64"/>
      <w:bookmarkEnd w:id="65"/>
    </w:p>
    <w:p w14:paraId="18949916">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除《中华人民共和国政府采购法》第49条、第50条第二款规定的情形外，本合同一经签订，甲乙双方不得擅自变更、中止或终止合同。</w:t>
      </w:r>
    </w:p>
    <w:p w14:paraId="17C1AF12">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82" w:name="_Toc30926"/>
      <w:bookmarkStart w:id="83" w:name="_Toc32542"/>
      <w:bookmarkStart w:id="84" w:name="_Toc5821"/>
      <w:bookmarkStart w:id="85" w:name="_Toc8343"/>
      <w:r>
        <w:rPr>
          <w:rFonts w:hint="eastAsia" w:ascii="仿宋" w:hAnsi="仿宋" w:eastAsia="仿宋" w:cs="仿宋"/>
          <w:b/>
          <w:sz w:val="28"/>
          <w:szCs w:val="28"/>
          <w:highlight w:val="none"/>
        </w:rPr>
        <w:t xml:space="preserve">第十三条  </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hint="eastAsia" w:ascii="仿宋" w:hAnsi="仿宋" w:eastAsia="仿宋" w:cs="仿宋"/>
          <w:b/>
          <w:sz w:val="28"/>
          <w:szCs w:val="28"/>
          <w:highlight w:val="none"/>
        </w:rPr>
        <w:t>争议解决条款</w:t>
      </w:r>
      <w:bookmarkEnd w:id="82"/>
      <w:bookmarkEnd w:id="83"/>
      <w:bookmarkEnd w:id="84"/>
      <w:bookmarkEnd w:id="85"/>
    </w:p>
    <w:p w14:paraId="7C66035A">
      <w:pPr>
        <w:snapToGrid w:val="0"/>
        <w:spacing w:line="360" w:lineRule="auto"/>
        <w:ind w:firstLine="560" w:firstLineChars="200"/>
        <w:rPr>
          <w:rFonts w:hint="eastAsia" w:ascii="仿宋" w:hAnsi="仿宋" w:eastAsia="仿宋" w:cs="仿宋"/>
          <w:sz w:val="28"/>
          <w:szCs w:val="28"/>
          <w:highlight w:val="none"/>
        </w:rPr>
      </w:pPr>
      <w:bookmarkStart w:id="86" w:name="_Toc225670757"/>
      <w:bookmarkStart w:id="87" w:name="_Toc239233920"/>
      <w:bookmarkStart w:id="88" w:name="_Toc225654650"/>
      <w:bookmarkStart w:id="89" w:name="_Toc238984981"/>
      <w:bookmarkStart w:id="90" w:name="_Toc282696231"/>
      <w:bookmarkStart w:id="91" w:name="_Toc237145412"/>
      <w:bookmarkStart w:id="92" w:name="_Toc241833909"/>
      <w:bookmarkStart w:id="93" w:name="_Toc185395255"/>
      <w:bookmarkStart w:id="94" w:name="_Toc239568424"/>
      <w:bookmarkStart w:id="95" w:name="_Toc225244858"/>
      <w:bookmarkStart w:id="96" w:name="_Toc232492934"/>
      <w:bookmarkStart w:id="97" w:name="_Toc247334847"/>
      <w:bookmarkStart w:id="98" w:name="_Toc283019219"/>
      <w:bookmarkStart w:id="99" w:name="_Toc212019600"/>
      <w:bookmarkStart w:id="100" w:name="_Toc211911354"/>
      <w:bookmarkStart w:id="101" w:name="_Toc286993793"/>
      <w:bookmarkStart w:id="102" w:name="_Toc251768868"/>
      <w:bookmarkStart w:id="103" w:name="_Toc211854455"/>
      <w:bookmarkStart w:id="104" w:name="_Toc24825"/>
      <w:bookmarkStart w:id="105" w:name="_Toc29426"/>
      <w:bookmarkStart w:id="106" w:name="_Toc233"/>
      <w:r>
        <w:rPr>
          <w:rFonts w:hint="eastAsia" w:ascii="仿宋" w:hAnsi="仿宋" w:eastAsia="仿宋" w:cs="仿宋"/>
          <w:sz w:val="28"/>
          <w:szCs w:val="28"/>
          <w:highlight w:val="none"/>
        </w:rPr>
        <w:t>因执行合同所发生的或与合同有关的一切争议,双方应通过友好协商解决。如果协商开始后六十（60）天还不能解决，可向甲方所在地有管辖权的人民法院提起诉讼。</w:t>
      </w:r>
    </w:p>
    <w:p w14:paraId="709B8E46">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107" w:name="_Toc27617"/>
      <w:r>
        <w:rPr>
          <w:rFonts w:hint="eastAsia" w:ascii="仿宋" w:hAnsi="仿宋" w:eastAsia="仿宋" w:cs="仿宋"/>
          <w:b/>
          <w:sz w:val="28"/>
          <w:szCs w:val="28"/>
          <w:highlight w:val="none"/>
        </w:rPr>
        <w:t>第十四条  合同</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Pr>
          <w:rFonts w:hint="eastAsia" w:ascii="仿宋" w:hAnsi="仿宋" w:eastAsia="仿宋" w:cs="仿宋"/>
          <w:b/>
          <w:sz w:val="28"/>
          <w:szCs w:val="28"/>
          <w:highlight w:val="none"/>
        </w:rPr>
        <w:t>生效及其他</w:t>
      </w:r>
      <w:bookmarkEnd w:id="104"/>
      <w:bookmarkEnd w:id="105"/>
      <w:bookmarkEnd w:id="106"/>
      <w:bookmarkEnd w:id="107"/>
    </w:p>
    <w:p w14:paraId="1AAE19EE">
      <w:pPr>
        <w:pStyle w:val="14"/>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1.合同经双方法定代表人或授权委托代理人签字并加盖单位公章后生效。</w:t>
      </w:r>
    </w:p>
    <w:p w14:paraId="242574BD">
      <w:pPr>
        <w:pStyle w:val="14"/>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2.合同执行中涉及采购资金和采购内容修改或补充的，须经政府采购监管部门审批，并签订书面补充协议报政府采购监督管理部门备案，方可作为主合同不可分割的一部分。</w:t>
      </w:r>
    </w:p>
    <w:p w14:paraId="4BFC2FC1">
      <w:pPr>
        <w:pStyle w:val="14"/>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3.本合同一式</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份，自双方签章之日起起效。甲方</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份，乙方</w:t>
      </w:r>
      <w:r>
        <w:rPr>
          <w:rFonts w:hint="eastAsia" w:ascii="仿宋" w:hAnsi="仿宋" w:eastAsia="仿宋" w:cs="仿宋"/>
          <w:i/>
          <w:iCs/>
          <w:sz w:val="28"/>
          <w:szCs w:val="28"/>
          <w:highlight w:val="none"/>
          <w:u w:val="single"/>
        </w:rPr>
        <w:t xml:space="preserve">     </w:t>
      </w:r>
      <w:r>
        <w:rPr>
          <w:rFonts w:hint="eastAsia" w:ascii="仿宋" w:hAnsi="仿宋" w:eastAsia="仿宋" w:cs="仿宋"/>
          <w:sz w:val="28"/>
          <w:szCs w:val="28"/>
          <w:highlight w:val="none"/>
        </w:rPr>
        <w:t>份，具有同等法律效力。</w:t>
      </w:r>
    </w:p>
    <w:p w14:paraId="24C0E8B0">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108" w:name="_Toc11151"/>
      <w:bookmarkStart w:id="109" w:name="_Toc12783"/>
      <w:bookmarkStart w:id="110" w:name="_Toc12138"/>
      <w:bookmarkStart w:id="111" w:name="_Toc15608"/>
      <w:r>
        <w:rPr>
          <w:rFonts w:hint="eastAsia" w:ascii="仿宋" w:hAnsi="仿宋" w:eastAsia="仿宋" w:cs="仿宋"/>
          <w:b/>
          <w:sz w:val="28"/>
          <w:szCs w:val="28"/>
          <w:highlight w:val="none"/>
        </w:rPr>
        <w:t>第十五条  附件</w:t>
      </w:r>
      <w:bookmarkEnd w:id="108"/>
      <w:bookmarkEnd w:id="109"/>
      <w:bookmarkEnd w:id="110"/>
      <w:bookmarkEnd w:id="111"/>
    </w:p>
    <w:p w14:paraId="17AB7F28">
      <w:pPr>
        <w:pStyle w:val="14"/>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1.项目招标文件</w:t>
      </w:r>
    </w:p>
    <w:p w14:paraId="2939E57E">
      <w:pPr>
        <w:pStyle w:val="14"/>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2.项目修改澄清文件（若有）</w:t>
      </w:r>
    </w:p>
    <w:p w14:paraId="2D25E2F3">
      <w:pPr>
        <w:pStyle w:val="14"/>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3.项目投标文件</w:t>
      </w:r>
    </w:p>
    <w:p w14:paraId="21804564">
      <w:pPr>
        <w:pStyle w:val="14"/>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4.中标通知书</w:t>
      </w:r>
    </w:p>
    <w:p w14:paraId="50F2E13F">
      <w:pPr>
        <w:pStyle w:val="14"/>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5.其他</w:t>
      </w:r>
    </w:p>
    <w:p w14:paraId="10B81883">
      <w:pPr>
        <w:spacing w:line="360" w:lineRule="auto"/>
        <w:ind w:firstLine="560" w:firstLineChars="200"/>
        <w:rPr>
          <w:rFonts w:hint="eastAsia" w:ascii="仿宋" w:hAnsi="仿宋" w:eastAsia="仿宋" w:cs="仿宋"/>
          <w:sz w:val="28"/>
          <w:szCs w:val="28"/>
          <w:highlight w:val="none"/>
        </w:rPr>
      </w:pPr>
    </w:p>
    <w:p w14:paraId="01911F47">
      <w:pPr>
        <w:spacing w:line="360" w:lineRule="auto"/>
        <w:ind w:firstLine="560" w:firstLineChars="200"/>
        <w:rPr>
          <w:rFonts w:hint="eastAsia" w:ascii="仿宋" w:hAnsi="仿宋" w:eastAsia="仿宋" w:cs="仿宋"/>
          <w:sz w:val="28"/>
          <w:szCs w:val="28"/>
          <w:highlight w:val="none"/>
        </w:rPr>
      </w:pPr>
    </w:p>
    <w:p w14:paraId="1C289E26">
      <w:pPr>
        <w:rPr>
          <w:rFonts w:hint="eastAsia" w:ascii="仿宋" w:hAnsi="仿宋" w:eastAsia="仿宋" w:cs="仿宋"/>
          <w:sz w:val="28"/>
          <w:szCs w:val="28"/>
          <w:highlight w:val="none"/>
        </w:rPr>
      </w:pPr>
      <w:r>
        <w:rPr>
          <w:rFonts w:hint="eastAsia" w:ascii="仿宋" w:hAnsi="仿宋" w:eastAsia="仿宋" w:cs="仿宋"/>
          <w:sz w:val="28"/>
          <w:szCs w:val="28"/>
          <w:highlight w:val="none"/>
        </w:rPr>
        <w:br w:type="page"/>
      </w:r>
    </w:p>
    <w:p w14:paraId="3769976C">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甲     方：（公章）   </w:t>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 xml:space="preserve">   乙    方：   （公章）</w:t>
      </w:r>
    </w:p>
    <w:p w14:paraId="68E2DFA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法定代表人（委托代理人）：      法定代表人（委托代理人）：</w:t>
      </w:r>
    </w:p>
    <w:p w14:paraId="62AAF1A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                      地    址：</w:t>
      </w:r>
    </w:p>
    <w:p w14:paraId="53060B74">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开户银行：                      开户银行：</w:t>
      </w:r>
    </w:p>
    <w:p w14:paraId="29F25548">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账    号：                      账    号：</w:t>
      </w:r>
    </w:p>
    <w:p w14:paraId="50BE737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纳税人识别号：                  纳税人识别号：</w:t>
      </w:r>
    </w:p>
    <w:p w14:paraId="35605A92">
      <w:pPr>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电    话：                      电    话：</w:t>
      </w:r>
    </w:p>
    <w:p w14:paraId="4C7F71AC">
      <w:pPr>
        <w:pStyle w:val="4"/>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日    期：    年  月  日 </w:t>
      </w:r>
      <w:r>
        <w:rPr>
          <w:rFonts w:hint="eastAsia" w:ascii="仿宋" w:hAnsi="仿宋" w:eastAsia="仿宋" w:cs="仿宋"/>
          <w:sz w:val="28"/>
          <w:szCs w:val="28"/>
          <w:highlight w:val="none"/>
        </w:rPr>
        <w:tab/>
      </w:r>
      <w:r>
        <w:rPr>
          <w:rFonts w:hint="eastAsia" w:ascii="仿宋" w:hAnsi="仿宋" w:eastAsia="仿宋" w:cs="仿宋"/>
          <w:sz w:val="28"/>
          <w:szCs w:val="28"/>
          <w:highlight w:val="none"/>
        </w:rPr>
        <w:t xml:space="preserve">      日    期：  年  月  日</w:t>
      </w:r>
    </w:p>
    <w:p w14:paraId="6DFA57A2">
      <w:pPr>
        <w:pStyle w:val="4"/>
        <w:pBdr>
          <w:top w:val="none" w:color="auto" w:sz="0" w:space="0"/>
          <w:left w:val="none" w:color="auto" w:sz="0" w:space="0"/>
          <w:bottom w:val="none" w:color="auto" w:sz="0" w:space="0"/>
          <w:right w:val="none" w:color="auto" w:sz="0" w:space="0"/>
        </w:pBdr>
        <w:spacing w:line="360" w:lineRule="auto"/>
        <w:ind w:firstLine="480" w:firstLineChars="200"/>
        <w:rPr>
          <w:rFonts w:hint="eastAsia" w:ascii="宋体" w:hAnsi="宋体" w:eastAsia="宋体" w:cs="宋体"/>
          <w:color w:val="auto"/>
          <w:sz w:val="24"/>
          <w:szCs w:val="24"/>
          <w:highlight w:val="none"/>
        </w:rPr>
      </w:pPr>
    </w:p>
    <w:bookmarkEnd w:id="11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9b2064fa-637d-48c3-ab6f-743be6b915f6"/>
  </w:docVars>
  <w:rsids>
    <w:rsidRoot w:val="00000000"/>
    <w:rsid w:val="044A045E"/>
    <w:rsid w:val="168F7ECF"/>
    <w:rsid w:val="18F16A49"/>
    <w:rsid w:val="198A5383"/>
    <w:rsid w:val="1D6152DA"/>
    <w:rsid w:val="1F014874"/>
    <w:rsid w:val="238D1AB4"/>
    <w:rsid w:val="263317DE"/>
    <w:rsid w:val="2D12265A"/>
    <w:rsid w:val="2E607E29"/>
    <w:rsid w:val="2E6C62EF"/>
    <w:rsid w:val="34F15410"/>
    <w:rsid w:val="361342B4"/>
    <w:rsid w:val="394147CF"/>
    <w:rsid w:val="3DD87915"/>
    <w:rsid w:val="40D62EEC"/>
    <w:rsid w:val="4C300944"/>
    <w:rsid w:val="4C520100"/>
    <w:rsid w:val="4F8F4DC4"/>
    <w:rsid w:val="537533F8"/>
    <w:rsid w:val="545B78FD"/>
    <w:rsid w:val="5B2C0E5C"/>
    <w:rsid w:val="5CA97B29"/>
    <w:rsid w:val="63B079EF"/>
    <w:rsid w:val="64FC2EBF"/>
    <w:rsid w:val="66F916AD"/>
    <w:rsid w:val="6CCD02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9"/>
    <w:pPr>
      <w:spacing w:line="360" w:lineRule="auto"/>
      <w:jc w:val="center"/>
      <w:outlineLvl w:val="0"/>
    </w:pPr>
    <w:rPr>
      <w:rFonts w:ascii="方正小标宋_GBK" w:hAnsi="仿宋" w:eastAsia="方正小标宋_GBK"/>
      <w:sz w:val="44"/>
      <w:szCs w:val="44"/>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customStyle="1" w:styleId="2">
    <w:name w:val="_Style 3"/>
    <w:basedOn w:val="3"/>
    <w:next w:val="1"/>
    <w:autoRedefine/>
    <w:qFormat/>
    <w:uiPriority w:val="0"/>
    <w:pPr>
      <w:keepLines w:val="0"/>
      <w:widowControl/>
      <w:spacing w:after="0" w:line="256" w:lineRule="auto"/>
      <w:jc w:val="left"/>
    </w:pPr>
    <w:rPr>
      <w:rFonts w:ascii="Calibri Light" w:hAnsi="Calibri Light" w:eastAsia="宋体"/>
      <w:color w:val="2E74B5"/>
      <w:kern w:val="0"/>
      <w:sz w:val="32"/>
      <w:szCs w:val="32"/>
    </w:rPr>
  </w:style>
  <w:style w:type="paragraph" w:styleId="4">
    <w:name w:val="Body Text"/>
    <w:basedOn w:val="1"/>
    <w:next w:val="1"/>
    <w:autoRedefine/>
    <w:unhideWhenUsed/>
    <w:qFormat/>
    <w:uiPriority w:val="99"/>
    <w:pPr>
      <w:spacing w:after="120"/>
    </w:pPr>
  </w:style>
  <w:style w:type="paragraph" w:styleId="5">
    <w:name w:val="Block Text"/>
    <w:basedOn w:val="1"/>
    <w:next w:val="6"/>
    <w:autoRedefine/>
    <w:qFormat/>
    <w:uiPriority w:val="0"/>
    <w:pPr>
      <w:spacing w:after="120"/>
      <w:ind w:left="1440" w:leftChars="700" w:right="700" w:rightChars="700"/>
    </w:pPr>
  </w:style>
  <w:style w:type="paragraph" w:styleId="6">
    <w:name w:val="Plain Text"/>
    <w:basedOn w:val="1"/>
    <w:next w:val="1"/>
    <w:autoRedefine/>
    <w:qFormat/>
    <w:uiPriority w:val="0"/>
    <w:rPr>
      <w:rFonts w:ascii="宋体" w:hAnsi="宋体"/>
      <w:szCs w:val="21"/>
    </w:rPr>
  </w:style>
  <w:style w:type="paragraph" w:styleId="7">
    <w:name w:val="toc 1"/>
    <w:basedOn w:val="1"/>
    <w:next w:val="1"/>
    <w:autoRedefine/>
    <w:qFormat/>
    <w:uiPriority w:val="0"/>
  </w:style>
  <w:style w:type="character" w:styleId="10">
    <w:name w:val="Strong"/>
    <w:basedOn w:val="9"/>
    <w:qFormat/>
    <w:uiPriority w:val="22"/>
    <w:rPr>
      <w:b/>
      <w:bCs/>
    </w:rPr>
  </w:style>
  <w:style w:type="paragraph" w:customStyle="1" w:styleId="11">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2">
    <w:name w:val="null3"/>
    <w:autoRedefine/>
    <w:qFormat/>
    <w:uiPriority w:val="0"/>
    <w:rPr>
      <w:rFonts w:hint="eastAsia" w:ascii="Calibri" w:hAnsi="Calibri" w:eastAsia="宋体" w:cs="Times New Roman"/>
      <w:lang w:val="en-US" w:eastAsia="zh-Hans"/>
    </w:rPr>
  </w:style>
  <w:style w:type="paragraph" w:customStyle="1" w:styleId="13">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4">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1340</Words>
  <Characters>1383</Characters>
  <Lines>0</Lines>
  <Paragraphs>0</Paragraphs>
  <TotalTime>0</TotalTime>
  <ScaleCrop>false</ScaleCrop>
  <LinksUpToDate>false</LinksUpToDate>
  <CharactersWithSpaces>1972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2024-02-27T07:48:00Z</dcterms:created>
  <dc:creator>Hailan</dc:creator>
  <cp:lastModifiedBy>懛鰦</cp:lastModifiedBy>
  <dcterms:modified xsi:type="dcterms:W3CDTF">2026-04-22T05:50:21Z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0909B54BE12242FB8C32DB63AD4498EB_12</vt:lpwstr>
  </property>
  <property fmtid="{D5CDD505-2E9C-101B-9397-08002B2CF9AE}" pid="4" name="KSOTemplateDocerSaveRecord">
    <vt:lpwstr>eyJoZGlkIjoiZWQwMzQwNTkwYmE5ZGFkMDY2MWQ4ZWY4MGUzYjg4MmIiLCJ1c2VySWQiOiIxMDY2ODE3NDg5In0=</vt:lpwstr>
  </property>
</Properties>
</file>