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39310F">
      <w:pPr>
        <w:ind w:right="25"/>
        <w:jc w:val="center"/>
        <w:rPr>
          <w:rFonts w:hint="eastAsia" w:ascii="宋体" w:hAnsi="宋体"/>
          <w:b/>
          <w:color w:val="auto"/>
          <w:sz w:val="36"/>
          <w:szCs w:val="36"/>
          <w:highlight w:val="none"/>
          <w:lang w:eastAsia="zh-CN"/>
        </w:rPr>
      </w:pPr>
    </w:p>
    <w:p w14:paraId="5751C8E9">
      <w:pPr>
        <w:ind w:right="25"/>
        <w:jc w:val="center"/>
        <w:rPr>
          <w:rFonts w:hint="eastAsia" w:ascii="宋体"/>
          <w:b/>
          <w:color w:val="auto"/>
          <w:sz w:val="84"/>
          <w:highlight w:val="none"/>
        </w:rPr>
      </w:pPr>
    </w:p>
    <w:p w14:paraId="06317D69">
      <w:pPr>
        <w:ind w:right="25"/>
        <w:jc w:val="center"/>
        <w:rPr>
          <w:rFonts w:hint="eastAsia" w:ascii="宋体" w:hAnsi="宋体"/>
          <w:b/>
          <w:color w:val="auto"/>
          <w:sz w:val="44"/>
          <w:szCs w:val="44"/>
          <w:highlight w:val="none"/>
          <w:lang w:eastAsia="zh-CN"/>
        </w:rPr>
      </w:pPr>
      <w:r>
        <w:rPr>
          <w:rFonts w:hint="eastAsia" w:ascii="宋体" w:hAnsi="宋体"/>
          <w:b/>
          <w:color w:val="auto"/>
          <w:sz w:val="44"/>
          <w:szCs w:val="44"/>
          <w:highlight w:val="none"/>
          <w:lang w:eastAsia="zh-CN"/>
        </w:rPr>
        <w:t>西安市第八保育院消防维保服务项目</w:t>
      </w:r>
    </w:p>
    <w:p w14:paraId="2117134D">
      <w:pPr>
        <w:ind w:right="25"/>
        <w:jc w:val="center"/>
        <w:rPr>
          <w:rFonts w:hint="eastAsia" w:ascii="宋体" w:hAnsi="宋体"/>
          <w:b/>
          <w:color w:val="auto"/>
          <w:sz w:val="36"/>
          <w:szCs w:val="36"/>
          <w:highlight w:val="none"/>
          <w:lang w:eastAsia="zh-CN"/>
        </w:rPr>
      </w:pPr>
    </w:p>
    <w:p w14:paraId="57B294BB">
      <w:pPr>
        <w:ind w:right="25"/>
        <w:jc w:val="center"/>
        <w:rPr>
          <w:rFonts w:hint="eastAsia" w:ascii="宋体"/>
          <w:b/>
          <w:color w:val="auto"/>
          <w:sz w:val="84"/>
          <w:highlight w:val="none"/>
        </w:rPr>
      </w:pPr>
    </w:p>
    <w:p w14:paraId="0C8105C5">
      <w:pPr>
        <w:ind w:right="25"/>
        <w:jc w:val="center"/>
        <w:rPr>
          <w:rFonts w:hint="eastAsia" w:ascii="宋体"/>
          <w:b/>
          <w:color w:val="auto"/>
          <w:sz w:val="84"/>
          <w:highlight w:val="none"/>
        </w:rPr>
      </w:pPr>
    </w:p>
    <w:p w14:paraId="2A29A723">
      <w:pPr>
        <w:ind w:right="25"/>
        <w:jc w:val="center"/>
        <w:rPr>
          <w:rFonts w:ascii="宋体"/>
          <w:b/>
          <w:color w:val="auto"/>
          <w:sz w:val="84"/>
          <w:highlight w:val="none"/>
        </w:rPr>
      </w:pPr>
      <w:r>
        <w:rPr>
          <w:rFonts w:hint="eastAsia" w:ascii="宋体"/>
          <w:b/>
          <w:color w:val="auto"/>
          <w:sz w:val="84"/>
          <w:highlight w:val="none"/>
          <w:lang w:eastAsia="zh-CN"/>
        </w:rPr>
        <w:t>服</w:t>
      </w:r>
      <w:r>
        <w:rPr>
          <w:rFonts w:hint="eastAsia" w:ascii="宋体"/>
          <w:b/>
          <w:color w:val="auto"/>
          <w:sz w:val="84"/>
          <w:highlight w:val="none"/>
          <w:lang w:val="en-US" w:eastAsia="zh-CN"/>
        </w:rPr>
        <w:t xml:space="preserve"> </w:t>
      </w:r>
      <w:r>
        <w:rPr>
          <w:rFonts w:hint="eastAsia" w:ascii="宋体"/>
          <w:b/>
          <w:color w:val="auto"/>
          <w:sz w:val="84"/>
          <w:highlight w:val="none"/>
          <w:lang w:eastAsia="zh-CN"/>
        </w:rPr>
        <w:t>务</w:t>
      </w:r>
      <w:r>
        <w:rPr>
          <w:rFonts w:hint="eastAsia" w:ascii="宋体"/>
          <w:b/>
          <w:color w:val="auto"/>
          <w:sz w:val="84"/>
          <w:highlight w:val="none"/>
        </w:rPr>
        <w:t xml:space="preserve"> 合 同</w:t>
      </w:r>
    </w:p>
    <w:p w14:paraId="7F18FC2E">
      <w:pPr>
        <w:ind w:left="1260" w:right="25"/>
        <w:rPr>
          <w:rFonts w:ascii="宋体"/>
          <w:color w:val="auto"/>
          <w:sz w:val="28"/>
          <w:highlight w:val="none"/>
        </w:rPr>
      </w:pPr>
    </w:p>
    <w:p w14:paraId="5F5EF985">
      <w:pPr>
        <w:ind w:left="1260" w:right="25"/>
        <w:rPr>
          <w:rFonts w:ascii="宋体"/>
          <w:color w:val="auto"/>
          <w:sz w:val="28"/>
          <w:highlight w:val="none"/>
        </w:rPr>
      </w:pPr>
    </w:p>
    <w:p w14:paraId="77E60225">
      <w:pPr>
        <w:ind w:left="1260" w:right="25"/>
        <w:rPr>
          <w:rFonts w:ascii="宋体"/>
          <w:color w:val="auto"/>
          <w:sz w:val="28"/>
          <w:highlight w:val="none"/>
        </w:rPr>
      </w:pPr>
    </w:p>
    <w:p w14:paraId="0EA5E541">
      <w:pPr>
        <w:ind w:left="1260" w:right="25"/>
        <w:rPr>
          <w:rFonts w:ascii="宋体"/>
          <w:color w:val="auto"/>
          <w:sz w:val="28"/>
          <w:highlight w:val="none"/>
        </w:rPr>
      </w:pPr>
    </w:p>
    <w:p w14:paraId="6A0AE8DB">
      <w:pPr>
        <w:ind w:left="1260" w:right="25"/>
        <w:rPr>
          <w:rFonts w:ascii="宋体"/>
          <w:color w:val="auto"/>
          <w:sz w:val="28"/>
          <w:highlight w:val="none"/>
        </w:rPr>
      </w:pPr>
    </w:p>
    <w:p w14:paraId="5AFECFCE">
      <w:pPr>
        <w:ind w:left="1260" w:right="25"/>
        <w:rPr>
          <w:rFonts w:ascii="宋体"/>
          <w:color w:val="auto"/>
          <w:sz w:val="28"/>
          <w:highlight w:val="none"/>
        </w:rPr>
      </w:pPr>
    </w:p>
    <w:p w14:paraId="6A79DF11">
      <w:pPr>
        <w:ind w:left="1915" w:leftChars="912" w:right="25" w:firstLine="0" w:firstLineChars="0"/>
        <w:jc w:val="left"/>
        <w:rPr>
          <w:rFonts w:hint="eastAsia" w:ascii="宋体"/>
          <w:b/>
          <w:color w:val="auto"/>
          <w:w w:val="90"/>
          <w:sz w:val="32"/>
          <w:szCs w:val="32"/>
          <w:highlight w:val="none"/>
        </w:rPr>
      </w:pPr>
      <w:r>
        <w:rPr>
          <w:rFonts w:hint="eastAsia" w:ascii="宋体"/>
          <w:b/>
          <w:color w:val="auto"/>
          <w:w w:val="90"/>
          <w:sz w:val="32"/>
          <w:szCs w:val="32"/>
          <w:highlight w:val="none"/>
        </w:rPr>
        <w:t>委托方：</w:t>
      </w:r>
      <w:r>
        <w:rPr>
          <w:rFonts w:hint="eastAsia" w:ascii="宋体"/>
          <w:b/>
          <w:color w:val="auto"/>
          <w:w w:val="90"/>
          <w:sz w:val="32"/>
          <w:szCs w:val="32"/>
          <w:highlight w:val="none"/>
          <w:lang w:eastAsia="zh-CN"/>
        </w:rPr>
        <w:t>西安市第八保育院</w:t>
      </w:r>
      <w:r>
        <w:rPr>
          <w:rFonts w:hint="eastAsia" w:ascii="宋体"/>
          <w:b/>
          <w:color w:val="auto"/>
          <w:w w:val="90"/>
          <w:sz w:val="32"/>
          <w:szCs w:val="32"/>
          <w:highlight w:val="none"/>
        </w:rPr>
        <w:t>(甲方）</w:t>
      </w:r>
    </w:p>
    <w:p w14:paraId="4720FBF7">
      <w:pPr>
        <w:ind w:left="638" w:leftChars="304" w:right="25" w:firstLine="1285" w:firstLineChars="400"/>
        <w:jc w:val="left"/>
        <w:rPr>
          <w:rFonts w:ascii="宋体" w:hAnsi="宋体"/>
          <w:b/>
          <w:color w:val="auto"/>
          <w:sz w:val="32"/>
          <w:szCs w:val="32"/>
          <w:highlight w:val="none"/>
        </w:rPr>
      </w:pPr>
      <w:r>
        <w:rPr>
          <w:rFonts w:hint="eastAsia" w:ascii="宋体" w:hAnsi="宋体"/>
          <w:b/>
          <w:color w:val="auto"/>
          <w:sz w:val="32"/>
          <w:szCs w:val="32"/>
          <w:highlight w:val="none"/>
        </w:rPr>
        <w:t>承揽方：</w:t>
      </w:r>
      <w:r>
        <w:rPr>
          <w:rFonts w:hint="eastAsia" w:ascii="宋体" w:hAnsi="宋体"/>
          <w:b/>
          <w:color w:val="auto"/>
          <w:sz w:val="32"/>
          <w:szCs w:val="32"/>
          <w:highlight w:val="none"/>
          <w:u w:val="single"/>
        </w:rPr>
        <w:t xml:space="preserve">      </w:t>
      </w:r>
      <w:r>
        <w:rPr>
          <w:rFonts w:hint="eastAsia" w:ascii="宋体" w:hAnsi="宋体"/>
          <w:b/>
          <w:color w:val="auto"/>
          <w:sz w:val="32"/>
          <w:szCs w:val="32"/>
          <w:highlight w:val="none"/>
          <w:u w:val="single"/>
          <w:lang w:val="en-US" w:eastAsia="zh-CN"/>
        </w:rPr>
        <w:t xml:space="preserve">  </w:t>
      </w:r>
      <w:r>
        <w:rPr>
          <w:rFonts w:hint="eastAsia" w:ascii="宋体" w:hAnsi="宋体"/>
          <w:b/>
          <w:color w:val="auto"/>
          <w:sz w:val="32"/>
          <w:szCs w:val="32"/>
          <w:highlight w:val="none"/>
          <w:u w:val="single"/>
        </w:rPr>
        <w:t xml:space="preserve">      </w:t>
      </w:r>
      <w:r>
        <w:rPr>
          <w:rFonts w:hint="eastAsia" w:ascii="宋体" w:hAnsi="宋体"/>
          <w:b/>
          <w:color w:val="auto"/>
          <w:sz w:val="32"/>
          <w:szCs w:val="32"/>
          <w:highlight w:val="none"/>
        </w:rPr>
        <w:t>(乙方)</w:t>
      </w:r>
    </w:p>
    <w:p w14:paraId="41084776">
      <w:pPr>
        <w:tabs>
          <w:tab w:val="left" w:pos="7920"/>
        </w:tabs>
        <w:ind w:right="25"/>
        <w:rPr>
          <w:rFonts w:hint="eastAsia" w:ascii="宋体" w:hAnsi="宋体"/>
          <w:b/>
          <w:color w:val="auto"/>
          <w:sz w:val="28"/>
          <w:szCs w:val="28"/>
          <w:highlight w:val="none"/>
        </w:rPr>
        <w:sectPr>
          <w:footerReference r:id="rId4" w:type="first"/>
          <w:footerReference r:id="rId3" w:type="default"/>
          <w:pgSz w:w="11907" w:h="16840"/>
          <w:pgMar w:top="1418" w:right="1134" w:bottom="1418" w:left="1588" w:header="851" w:footer="992" w:gutter="0"/>
          <w:pgNumType w:fmt="decimal" w:start="1"/>
          <w:cols w:space="720" w:num="1"/>
          <w:titlePg/>
          <w:docGrid w:type="lines" w:linePitch="312" w:charSpace="0"/>
        </w:sectPr>
      </w:pPr>
    </w:p>
    <w:p w14:paraId="09A2FE79">
      <w:pPr>
        <w:tabs>
          <w:tab w:val="left" w:pos="7920"/>
        </w:tabs>
        <w:spacing w:line="360" w:lineRule="auto"/>
        <w:ind w:left="843" w:right="25" w:hanging="843" w:hangingChars="4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委托方：</w:t>
      </w:r>
      <w:r>
        <w:rPr>
          <w:rFonts w:hint="eastAsia" w:ascii="宋体" w:hAnsi="宋体" w:cs="宋体"/>
          <w:b/>
          <w:color w:val="auto"/>
          <w:sz w:val="21"/>
          <w:szCs w:val="21"/>
          <w:highlight w:val="none"/>
          <w:lang w:eastAsia="zh-CN"/>
        </w:rPr>
        <w:t>西安市第八保育院</w:t>
      </w:r>
      <w:r>
        <w:rPr>
          <w:rFonts w:hint="eastAsia" w:ascii="宋体" w:hAnsi="宋体" w:eastAsia="宋体" w:cs="宋体"/>
          <w:b/>
          <w:color w:val="auto"/>
          <w:sz w:val="21"/>
          <w:szCs w:val="21"/>
          <w:highlight w:val="none"/>
        </w:rPr>
        <w:t>（以下简称甲方）</w:t>
      </w:r>
    </w:p>
    <w:p w14:paraId="2BC414AE">
      <w:pPr>
        <w:tabs>
          <w:tab w:val="left" w:pos="7920"/>
        </w:tabs>
        <w:spacing w:line="360" w:lineRule="auto"/>
        <w:ind w:right="25"/>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承揽方：</w:t>
      </w:r>
      <w:r>
        <w:rPr>
          <w:rFonts w:hint="eastAsia" w:ascii="宋体" w:hAnsi="宋体" w:eastAsia="宋体" w:cs="宋体"/>
          <w:b/>
          <w:color w:val="auto"/>
          <w:sz w:val="21"/>
          <w:szCs w:val="21"/>
          <w:highlight w:val="none"/>
          <w:u w:val="single"/>
        </w:rPr>
        <w:t xml:space="preserve">            </w:t>
      </w:r>
      <w:r>
        <w:rPr>
          <w:rFonts w:hint="eastAsia" w:ascii="宋体" w:hAnsi="宋体" w:cs="宋体"/>
          <w:b/>
          <w:color w:val="auto"/>
          <w:sz w:val="21"/>
          <w:szCs w:val="21"/>
          <w:highlight w:val="none"/>
          <w:u w:val="single"/>
          <w:lang w:val="en-US" w:eastAsia="zh-CN"/>
        </w:rPr>
        <w:t xml:space="preserve">  </w:t>
      </w:r>
      <w:r>
        <w:rPr>
          <w:rFonts w:hint="eastAsia" w:ascii="宋体" w:hAnsi="宋体" w:eastAsia="宋体" w:cs="宋体"/>
          <w:b/>
          <w:color w:val="auto"/>
          <w:sz w:val="21"/>
          <w:szCs w:val="21"/>
          <w:highlight w:val="none"/>
          <w:u w:val="single"/>
        </w:rPr>
        <w:t xml:space="preserve">  </w:t>
      </w:r>
      <w:r>
        <w:rPr>
          <w:rFonts w:hint="eastAsia" w:ascii="宋体" w:hAnsi="宋体" w:eastAsia="宋体" w:cs="宋体"/>
          <w:b/>
          <w:color w:val="auto"/>
          <w:sz w:val="21"/>
          <w:szCs w:val="21"/>
          <w:highlight w:val="none"/>
        </w:rPr>
        <w:t>（以下简称乙方）</w:t>
      </w:r>
    </w:p>
    <w:p w14:paraId="129AADF5">
      <w:pPr>
        <w:pStyle w:val="3"/>
        <w:spacing w:line="360" w:lineRule="auto"/>
        <w:ind w:left="0"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根据《中华人民共和国民法典》和有关法律法规，经甲、乙双方协商一致签订本合同。</w:t>
      </w:r>
    </w:p>
    <w:p w14:paraId="6CC0E1D2">
      <w:pPr>
        <w:spacing w:line="360" w:lineRule="auto"/>
        <w:ind w:firstLine="422" w:firstLineChars="200"/>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eastAsia="zh-CN"/>
        </w:rPr>
        <w:t>第一条</w:t>
      </w:r>
      <w:r>
        <w:rPr>
          <w:rFonts w:hint="eastAsia" w:ascii="宋体" w:hAnsi="宋体" w:eastAsia="宋体" w:cs="宋体"/>
          <w:b/>
          <w:color w:val="auto"/>
          <w:sz w:val="21"/>
          <w:szCs w:val="21"/>
          <w:highlight w:val="none"/>
          <w:lang w:val="en-US" w:eastAsia="zh-CN"/>
        </w:rPr>
        <w:t xml:space="preserve"> 项目概况</w:t>
      </w:r>
    </w:p>
    <w:p w14:paraId="7AABE502">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西安市第八保育院项目，总建筑面积32692.74㎡，</w:t>
      </w:r>
    </w:p>
    <w:p w14:paraId="5EB088F8">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老教学楼：耐火等级二级3层，建筑高度11.85m，</w:t>
      </w:r>
    </w:p>
    <w:p w14:paraId="0FC60143">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1#活动单元楼：耐火等级二级3层，建筑高度12.6m ,</w:t>
      </w:r>
    </w:p>
    <w:p w14:paraId="0BD3B435">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2#教学辅助楼：耐火等级二级3层，建筑高度11.4m ,</w:t>
      </w:r>
    </w:p>
    <w:p w14:paraId="0CEE8DC8">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3#教学辅助楼：耐火等级二级3层，建筑高度11.4m ,</w:t>
      </w:r>
    </w:p>
    <w:p w14:paraId="1A2563A1">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地下一层为车库。消防水池及消防泵房设置在地下一层B区容积504m³，消防高位水箱设置在老教学楼楼顶，容积18m³。消控室设置在门房传达室旁。</w:t>
      </w:r>
    </w:p>
    <w:p w14:paraId="4B5B522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消防设施有：火灾自动报警系统，消火栓系统，自动喷水灭火系统，防排烟系统，消防应急照明与疏散指示系统，防火分隔设施，防火门监控系统，电气火灾监控系统，消防电源监控系统，气体灭火系统，灭火器。</w:t>
      </w:r>
    </w:p>
    <w:p w14:paraId="0A6121AE">
      <w:pPr>
        <w:spacing w:line="360" w:lineRule="auto"/>
        <w:ind w:right="25" w:firstLine="422" w:firstLineChars="200"/>
        <w:outlineLvl w:val="9"/>
        <w:rPr>
          <w:rFonts w:hint="eastAsia" w:ascii="宋体" w:hAnsi="宋体" w:eastAsia="宋体" w:cs="宋体"/>
          <w:color w:val="auto"/>
          <w:sz w:val="21"/>
          <w:szCs w:val="21"/>
          <w:highlight w:val="none"/>
          <w:lang w:eastAsia="zh-CN"/>
        </w:rPr>
      </w:pPr>
      <w:r>
        <w:rPr>
          <w:rFonts w:hint="eastAsia" w:ascii="宋体" w:hAnsi="宋体" w:eastAsia="宋体" w:cs="宋体"/>
          <w:b/>
          <w:color w:val="auto"/>
          <w:sz w:val="21"/>
          <w:szCs w:val="21"/>
          <w:highlight w:val="none"/>
        </w:rPr>
        <w:t xml:space="preserve">第二条 </w:t>
      </w:r>
      <w:r>
        <w:rPr>
          <w:rFonts w:hint="eastAsia" w:ascii="宋体" w:hAnsi="宋体" w:eastAsia="宋体" w:cs="宋体"/>
          <w:b/>
          <w:color w:val="auto"/>
          <w:sz w:val="21"/>
          <w:szCs w:val="21"/>
          <w:highlight w:val="none"/>
          <w:lang w:eastAsia="zh-CN"/>
        </w:rPr>
        <w:t>采购内容</w:t>
      </w:r>
    </w:p>
    <w:p w14:paraId="54CC1714">
      <w:pPr>
        <w:snapToGrid w:val="0"/>
        <w:spacing w:line="360" w:lineRule="auto"/>
        <w:ind w:firstLine="422" w:firstLineChars="200"/>
        <w:rPr>
          <w:rFonts w:hint="eastAsia" w:ascii="宋体" w:hAnsi="宋体" w:eastAsia="宋体" w:cs="Times New Roman"/>
          <w:b/>
          <w:bCs/>
          <w:color w:val="auto"/>
          <w:position w:val="0"/>
          <w:sz w:val="21"/>
          <w:szCs w:val="21"/>
          <w:highlight w:val="none"/>
        </w:rPr>
      </w:pPr>
      <w:r>
        <w:rPr>
          <w:rFonts w:hint="eastAsia" w:ascii="宋体" w:hAnsi="宋体"/>
          <w:b/>
          <w:bCs/>
          <w:color w:val="auto"/>
          <w:position w:val="0"/>
          <w:sz w:val="21"/>
          <w:szCs w:val="21"/>
          <w:highlight w:val="none"/>
        </w:rPr>
        <w:t>（</w:t>
      </w:r>
      <w:r>
        <w:rPr>
          <w:rFonts w:hint="eastAsia" w:ascii="宋体" w:hAnsi="宋体"/>
          <w:b/>
          <w:bCs/>
          <w:color w:val="auto"/>
          <w:position w:val="0"/>
          <w:sz w:val="21"/>
          <w:szCs w:val="21"/>
          <w:highlight w:val="none"/>
          <w:lang w:eastAsia="zh-CN"/>
        </w:rPr>
        <w:t>一</w:t>
      </w:r>
      <w:r>
        <w:rPr>
          <w:rFonts w:hint="eastAsia" w:ascii="宋体" w:hAnsi="宋体"/>
          <w:b/>
          <w:bCs/>
          <w:color w:val="auto"/>
          <w:position w:val="0"/>
          <w:sz w:val="21"/>
          <w:szCs w:val="21"/>
          <w:highlight w:val="none"/>
        </w:rPr>
        <w:t>）服务内容</w:t>
      </w:r>
    </w:p>
    <w:p w14:paraId="44E54247">
      <w:pPr>
        <w:snapToGrid w:val="0"/>
        <w:spacing w:line="360" w:lineRule="auto"/>
        <w:ind w:firstLine="420" w:firstLineChars="200"/>
        <w:rPr>
          <w:rFonts w:hint="eastAsia" w:ascii="宋体" w:hAnsi="宋体"/>
          <w:color w:val="auto"/>
          <w:position w:val="0"/>
          <w:sz w:val="21"/>
          <w:szCs w:val="21"/>
          <w:highlight w:val="none"/>
        </w:rPr>
      </w:pPr>
      <w:r>
        <w:rPr>
          <w:rFonts w:hint="eastAsia" w:ascii="宋体" w:hAnsi="宋体"/>
          <w:color w:val="auto"/>
          <w:position w:val="0"/>
          <w:sz w:val="21"/>
          <w:szCs w:val="21"/>
          <w:highlight w:val="none"/>
        </w:rPr>
        <w:t>1.每月要求2名注册一级消防工程师带领2名中级操作员对本项目进行消防维保1次，并按月出具消防维保报告书。</w:t>
      </w:r>
    </w:p>
    <w:p w14:paraId="63624D44">
      <w:pPr>
        <w:snapToGrid w:val="0"/>
        <w:spacing w:line="360" w:lineRule="auto"/>
        <w:ind w:firstLine="420" w:firstLineChars="200"/>
        <w:rPr>
          <w:rFonts w:hint="eastAsia" w:ascii="宋体" w:hAnsi="宋体"/>
          <w:color w:val="auto"/>
          <w:position w:val="0"/>
          <w:sz w:val="21"/>
          <w:szCs w:val="21"/>
          <w:highlight w:val="none"/>
        </w:rPr>
      </w:pPr>
      <w:r>
        <w:rPr>
          <w:rFonts w:hint="eastAsia" w:ascii="宋体" w:hAnsi="宋体"/>
          <w:color w:val="auto"/>
          <w:position w:val="0"/>
          <w:sz w:val="21"/>
          <w:szCs w:val="21"/>
          <w:highlight w:val="none"/>
        </w:rPr>
        <w:t>2.每月对消防报警系统、消防设备设施进行检查、维修。紧急情况需要立即派技术人员到故障位置进行维保，确保院内消防报警系统、设备设施完好有效。维修保养后的建筑消防设施质量需满足相关标准要求。</w:t>
      </w:r>
    </w:p>
    <w:p w14:paraId="2EFB5790">
      <w:pPr>
        <w:snapToGrid w:val="0"/>
        <w:spacing w:line="360" w:lineRule="auto"/>
        <w:ind w:firstLine="420" w:firstLineChars="200"/>
        <w:rPr>
          <w:rFonts w:hint="eastAsia" w:ascii="宋体" w:hAnsi="宋体"/>
          <w:color w:val="auto"/>
          <w:position w:val="0"/>
          <w:sz w:val="21"/>
          <w:szCs w:val="21"/>
          <w:highlight w:val="none"/>
        </w:rPr>
      </w:pPr>
      <w:r>
        <w:rPr>
          <w:rFonts w:hint="eastAsia" w:ascii="宋体" w:hAnsi="宋体"/>
          <w:color w:val="auto"/>
          <w:position w:val="0"/>
          <w:sz w:val="21"/>
          <w:szCs w:val="21"/>
          <w:highlight w:val="none"/>
        </w:rPr>
        <w:t>3.安排不少于3名人员24小时进行消防监控，完成每日消防巡查与消控室的值班工作。</w:t>
      </w:r>
    </w:p>
    <w:p w14:paraId="3B39FF6A">
      <w:pPr>
        <w:snapToGrid w:val="0"/>
        <w:spacing w:line="360" w:lineRule="auto"/>
        <w:ind w:firstLine="420" w:firstLineChars="200"/>
        <w:rPr>
          <w:rFonts w:hint="eastAsia" w:ascii="宋体" w:hAnsi="宋体"/>
          <w:color w:val="auto"/>
          <w:position w:val="0"/>
          <w:sz w:val="21"/>
          <w:szCs w:val="21"/>
          <w:highlight w:val="none"/>
        </w:rPr>
      </w:pPr>
      <w:r>
        <w:rPr>
          <w:rFonts w:hint="eastAsia" w:ascii="宋体" w:hAnsi="宋体"/>
          <w:color w:val="auto"/>
          <w:position w:val="0"/>
          <w:sz w:val="21"/>
          <w:szCs w:val="21"/>
          <w:highlight w:val="none"/>
        </w:rPr>
        <w:t>4.每年对项目进行消防年度检测一次，并出具检测报告。</w:t>
      </w:r>
    </w:p>
    <w:p w14:paraId="58BB6CB7">
      <w:pPr>
        <w:snapToGrid w:val="0"/>
        <w:spacing w:line="360" w:lineRule="auto"/>
        <w:ind w:firstLine="420" w:firstLineChars="200"/>
        <w:rPr>
          <w:rFonts w:hint="eastAsia" w:ascii="宋体" w:hAnsi="宋体"/>
          <w:color w:val="auto"/>
          <w:position w:val="0"/>
          <w:sz w:val="21"/>
          <w:szCs w:val="21"/>
          <w:highlight w:val="none"/>
        </w:rPr>
      </w:pPr>
      <w:r>
        <w:rPr>
          <w:rFonts w:hint="eastAsia" w:ascii="宋体" w:hAnsi="宋体"/>
          <w:color w:val="auto"/>
          <w:position w:val="0"/>
          <w:sz w:val="21"/>
          <w:szCs w:val="21"/>
          <w:highlight w:val="none"/>
        </w:rPr>
        <w:t>5.如遇大型检查或消防演练时派专人到场协助，协助完成消防类其他相关工作。</w:t>
      </w:r>
    </w:p>
    <w:p w14:paraId="16484E3C">
      <w:pPr>
        <w:snapToGrid w:val="0"/>
        <w:spacing w:line="360" w:lineRule="auto"/>
        <w:ind w:firstLine="420" w:firstLineChars="200"/>
        <w:rPr>
          <w:rFonts w:hint="eastAsia" w:ascii="宋体" w:hAnsi="宋体"/>
          <w:color w:val="auto"/>
          <w:position w:val="0"/>
          <w:sz w:val="21"/>
          <w:szCs w:val="21"/>
          <w:highlight w:val="none"/>
        </w:rPr>
      </w:pPr>
      <w:r>
        <w:rPr>
          <w:rFonts w:hint="eastAsia" w:ascii="宋体" w:hAnsi="宋体"/>
          <w:color w:val="auto"/>
          <w:position w:val="0"/>
          <w:sz w:val="21"/>
          <w:szCs w:val="21"/>
          <w:highlight w:val="none"/>
        </w:rPr>
        <w:t>6.法定节假日之前对消防设施进行检查，确保设施正常运行。</w:t>
      </w:r>
    </w:p>
    <w:p w14:paraId="5E662A2A">
      <w:pPr>
        <w:snapToGrid w:val="0"/>
        <w:spacing w:line="360" w:lineRule="auto"/>
        <w:ind w:firstLine="420" w:firstLineChars="200"/>
        <w:rPr>
          <w:rFonts w:hint="eastAsia" w:ascii="宋体" w:hAnsi="宋体"/>
          <w:color w:val="auto"/>
          <w:position w:val="0"/>
          <w:sz w:val="21"/>
          <w:szCs w:val="21"/>
          <w:highlight w:val="none"/>
        </w:rPr>
      </w:pPr>
      <w:r>
        <w:rPr>
          <w:rFonts w:hint="eastAsia" w:ascii="宋体" w:hAnsi="宋体"/>
          <w:color w:val="auto"/>
          <w:position w:val="0"/>
          <w:sz w:val="21"/>
          <w:szCs w:val="21"/>
          <w:highlight w:val="none"/>
        </w:rPr>
        <w:t>7.需对西安市第八保育院15具气体灭火装置进行年检及药剂充装，零配件更换。并提供厂家相关资质及授权。</w:t>
      </w:r>
    </w:p>
    <w:p w14:paraId="7D3CE347">
      <w:pPr>
        <w:snapToGrid w:val="0"/>
        <w:spacing w:line="360" w:lineRule="auto"/>
        <w:ind w:firstLine="420" w:firstLineChars="200"/>
        <w:rPr>
          <w:rFonts w:hint="eastAsia" w:ascii="宋体" w:hAnsi="宋体"/>
          <w:color w:val="auto"/>
          <w:position w:val="0"/>
          <w:sz w:val="21"/>
          <w:szCs w:val="21"/>
          <w:highlight w:val="none"/>
        </w:rPr>
      </w:pPr>
      <w:r>
        <w:rPr>
          <w:rFonts w:hint="eastAsia" w:ascii="宋体" w:hAnsi="宋体"/>
          <w:color w:val="auto"/>
          <w:position w:val="0"/>
          <w:sz w:val="21"/>
          <w:szCs w:val="21"/>
          <w:highlight w:val="none"/>
        </w:rPr>
        <w:t>8.需对西安市第八保育院灭火器进行年检充装一次，约350具。并提供厂家相关资质及授权。</w:t>
      </w:r>
    </w:p>
    <w:p w14:paraId="1C5178B4">
      <w:pPr>
        <w:snapToGrid w:val="0"/>
        <w:spacing w:line="360" w:lineRule="auto"/>
        <w:ind w:firstLine="422" w:firstLineChars="200"/>
        <w:rPr>
          <w:rFonts w:hint="eastAsia" w:ascii="宋体" w:hAnsi="宋体"/>
          <w:b/>
          <w:bCs/>
          <w:color w:val="auto"/>
          <w:position w:val="0"/>
          <w:sz w:val="21"/>
          <w:szCs w:val="21"/>
          <w:highlight w:val="none"/>
        </w:rPr>
      </w:pPr>
      <w:r>
        <w:rPr>
          <w:rFonts w:hint="eastAsia" w:ascii="宋体" w:hAnsi="宋体"/>
          <w:b/>
          <w:bCs/>
          <w:color w:val="auto"/>
          <w:position w:val="0"/>
          <w:sz w:val="21"/>
          <w:szCs w:val="21"/>
          <w:highlight w:val="none"/>
        </w:rPr>
        <w:t>（二）服务要求</w:t>
      </w:r>
    </w:p>
    <w:p w14:paraId="1586FB14">
      <w:pPr>
        <w:snapToGrid w:val="0"/>
        <w:spacing w:line="360" w:lineRule="auto"/>
        <w:ind w:firstLine="420" w:firstLineChars="200"/>
        <w:rPr>
          <w:rFonts w:hint="eastAsia" w:ascii="宋体" w:hAnsi="宋体"/>
          <w:color w:val="auto"/>
          <w:position w:val="0"/>
          <w:sz w:val="21"/>
          <w:szCs w:val="21"/>
          <w:highlight w:val="none"/>
        </w:rPr>
      </w:pPr>
      <w:r>
        <w:rPr>
          <w:rFonts w:hint="eastAsia" w:ascii="宋体" w:hAnsi="宋体"/>
          <w:color w:val="auto"/>
          <w:position w:val="0"/>
          <w:sz w:val="21"/>
          <w:szCs w:val="21"/>
          <w:highlight w:val="none"/>
        </w:rPr>
        <w:t>1.维保服务时间：365日历天。</w:t>
      </w:r>
    </w:p>
    <w:p w14:paraId="21BCFF1D">
      <w:pPr>
        <w:snapToGrid w:val="0"/>
        <w:spacing w:line="360" w:lineRule="auto"/>
        <w:ind w:firstLine="420" w:firstLineChars="200"/>
        <w:rPr>
          <w:rFonts w:hint="eastAsia" w:ascii="宋体" w:hAnsi="宋体"/>
          <w:color w:val="auto"/>
          <w:position w:val="0"/>
          <w:sz w:val="21"/>
          <w:szCs w:val="21"/>
          <w:highlight w:val="none"/>
        </w:rPr>
      </w:pPr>
      <w:r>
        <w:rPr>
          <w:rFonts w:hint="eastAsia" w:ascii="宋体" w:hAnsi="宋体"/>
          <w:color w:val="auto"/>
          <w:position w:val="0"/>
          <w:sz w:val="21"/>
          <w:szCs w:val="21"/>
          <w:highlight w:val="none"/>
        </w:rPr>
        <w:t>2.需提供全面的消防维保服务方案。</w:t>
      </w:r>
    </w:p>
    <w:p w14:paraId="23180708">
      <w:pPr>
        <w:snapToGrid w:val="0"/>
        <w:spacing w:line="360" w:lineRule="auto"/>
        <w:ind w:firstLine="420" w:firstLineChars="200"/>
        <w:rPr>
          <w:rFonts w:hint="eastAsia" w:ascii="宋体" w:hAnsi="宋体"/>
          <w:color w:val="auto"/>
          <w:position w:val="0"/>
          <w:sz w:val="21"/>
          <w:szCs w:val="21"/>
          <w:highlight w:val="none"/>
        </w:rPr>
      </w:pPr>
      <w:r>
        <w:rPr>
          <w:rFonts w:hint="eastAsia" w:ascii="宋体" w:hAnsi="宋体"/>
          <w:color w:val="auto"/>
          <w:position w:val="0"/>
          <w:sz w:val="21"/>
          <w:szCs w:val="21"/>
          <w:highlight w:val="none"/>
        </w:rPr>
        <w:t>3.每日进行至少2次消防巡查，并留有纸质版巡查记录备查，确保消防系统运转正常。</w:t>
      </w:r>
    </w:p>
    <w:p w14:paraId="22C38440">
      <w:pPr>
        <w:snapToGrid w:val="0"/>
        <w:spacing w:line="360" w:lineRule="auto"/>
        <w:ind w:firstLine="420" w:firstLineChars="200"/>
        <w:rPr>
          <w:rFonts w:hint="eastAsia" w:ascii="宋体" w:hAnsi="宋体"/>
          <w:color w:val="auto"/>
          <w:position w:val="0"/>
          <w:sz w:val="21"/>
          <w:szCs w:val="21"/>
          <w:highlight w:val="none"/>
        </w:rPr>
      </w:pPr>
      <w:r>
        <w:rPr>
          <w:rFonts w:hint="eastAsia" w:ascii="宋体" w:hAnsi="宋体"/>
          <w:color w:val="auto"/>
          <w:position w:val="0"/>
          <w:sz w:val="21"/>
          <w:szCs w:val="21"/>
          <w:highlight w:val="none"/>
        </w:rPr>
        <w:t>4.如遇重大节假日或相关部门检查需无条件进行消防巡查与现场配合。</w:t>
      </w:r>
    </w:p>
    <w:p w14:paraId="18A88996">
      <w:pPr>
        <w:snapToGrid w:val="0"/>
        <w:spacing w:line="360" w:lineRule="auto"/>
        <w:ind w:firstLine="420" w:firstLineChars="200"/>
        <w:rPr>
          <w:rFonts w:hint="eastAsia" w:ascii="宋体" w:hAnsi="宋体"/>
          <w:color w:val="auto"/>
          <w:position w:val="0"/>
          <w:sz w:val="21"/>
          <w:szCs w:val="21"/>
          <w:highlight w:val="none"/>
        </w:rPr>
      </w:pPr>
      <w:r>
        <w:rPr>
          <w:rFonts w:hint="eastAsia" w:ascii="宋体" w:hAnsi="宋体"/>
          <w:color w:val="auto"/>
          <w:position w:val="0"/>
          <w:sz w:val="21"/>
          <w:szCs w:val="21"/>
          <w:highlight w:val="none"/>
        </w:rPr>
        <w:t>5.提供服务质量承诺书及售后保障承诺书。</w:t>
      </w:r>
    </w:p>
    <w:p w14:paraId="49F697AB">
      <w:pPr>
        <w:snapToGrid w:val="0"/>
        <w:spacing w:line="360" w:lineRule="auto"/>
        <w:ind w:firstLine="420" w:firstLineChars="200"/>
        <w:rPr>
          <w:rFonts w:hint="eastAsia" w:ascii="宋体" w:hAnsi="宋体"/>
          <w:color w:val="auto"/>
          <w:position w:val="0"/>
          <w:sz w:val="21"/>
          <w:szCs w:val="21"/>
          <w:highlight w:val="none"/>
        </w:rPr>
      </w:pPr>
      <w:r>
        <w:rPr>
          <w:rFonts w:hint="eastAsia" w:ascii="宋体" w:hAnsi="宋体"/>
          <w:color w:val="auto"/>
          <w:position w:val="0"/>
          <w:sz w:val="21"/>
          <w:szCs w:val="21"/>
          <w:highlight w:val="none"/>
        </w:rPr>
        <w:t>6.负责对西安市第八保育院所有消防问题进行维修整改，维修包含所有零配件更换、人工费、调试费、安装搬运费、税费等除主设备（主设备指：主机、控制柜、管道、管道连接件、流体控制元件、管道支架、水池、水箱、泵、稳压设施、钢瓶、风机、防火门、防火卷帘），维保周期内维修产生的全部费用由成交单位承担。</w:t>
      </w:r>
    </w:p>
    <w:p w14:paraId="797AA25B">
      <w:pPr>
        <w:snapToGrid w:val="0"/>
        <w:spacing w:line="360" w:lineRule="auto"/>
        <w:ind w:firstLine="422" w:firstLineChars="200"/>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三</w:t>
      </w:r>
      <w:r>
        <w:rPr>
          <w:rFonts w:hint="eastAsia" w:ascii="宋体" w:hAnsi="宋体" w:eastAsia="宋体" w:cs="宋体"/>
          <w:b/>
          <w:color w:val="auto"/>
          <w:sz w:val="21"/>
          <w:szCs w:val="21"/>
          <w:highlight w:val="none"/>
        </w:rPr>
        <w:t xml:space="preserve">条 </w:t>
      </w:r>
      <w:r>
        <w:rPr>
          <w:rFonts w:hint="eastAsia" w:ascii="宋体" w:hAnsi="宋体" w:eastAsia="宋体" w:cs="宋体"/>
          <w:b/>
          <w:color w:val="auto"/>
          <w:sz w:val="21"/>
          <w:szCs w:val="21"/>
          <w:highlight w:val="none"/>
          <w:lang w:eastAsia="zh-CN"/>
        </w:rPr>
        <w:t>服务费</w:t>
      </w:r>
    </w:p>
    <w:p w14:paraId="28634DE3">
      <w:pPr>
        <w:tabs>
          <w:tab w:val="left" w:pos="0"/>
        </w:tabs>
        <w:spacing w:line="360" w:lineRule="auto"/>
        <w:ind w:right="25" w:firstLine="420" w:firstLineChars="200"/>
        <w:jc w:val="left"/>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sz w:val="21"/>
          <w:szCs w:val="21"/>
          <w:highlight w:val="none"/>
        </w:rPr>
        <w:t>服务费：本合同为固定总价合同。总价款：</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），税率：</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none"/>
        </w:rPr>
        <w:t>%</w:t>
      </w:r>
      <w:r>
        <w:rPr>
          <w:rFonts w:hint="eastAsia" w:ascii="宋体" w:hAnsi="宋体" w:cs="宋体"/>
          <w:color w:val="auto"/>
          <w:sz w:val="21"/>
          <w:szCs w:val="21"/>
          <w:highlight w:val="none"/>
          <w:u w:val="none"/>
          <w:lang w:eastAsia="zh-CN"/>
        </w:rPr>
        <w:t>。</w:t>
      </w:r>
    </w:p>
    <w:p w14:paraId="21313ECF">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四</w:t>
      </w:r>
      <w:r>
        <w:rPr>
          <w:rFonts w:hint="eastAsia" w:ascii="宋体" w:hAnsi="宋体" w:eastAsia="宋体" w:cs="宋体"/>
          <w:b/>
          <w:color w:val="auto"/>
          <w:sz w:val="21"/>
          <w:szCs w:val="21"/>
          <w:highlight w:val="none"/>
        </w:rPr>
        <w:t xml:space="preserve">条 </w:t>
      </w:r>
      <w:r>
        <w:rPr>
          <w:rFonts w:hint="eastAsia" w:ascii="宋体" w:hAnsi="宋体" w:eastAsia="宋体" w:cs="宋体"/>
          <w:b/>
          <w:color w:val="auto"/>
          <w:sz w:val="21"/>
          <w:szCs w:val="21"/>
          <w:highlight w:val="none"/>
          <w:lang w:eastAsia="zh-CN"/>
        </w:rPr>
        <w:t>服务费</w:t>
      </w:r>
      <w:r>
        <w:rPr>
          <w:rFonts w:hint="eastAsia" w:ascii="宋体" w:hAnsi="宋体" w:eastAsia="宋体" w:cs="宋体"/>
          <w:b/>
          <w:color w:val="auto"/>
          <w:sz w:val="21"/>
          <w:szCs w:val="21"/>
          <w:highlight w:val="none"/>
        </w:rPr>
        <w:t>的支付</w:t>
      </w:r>
    </w:p>
    <w:p w14:paraId="5C4252D1">
      <w:pPr>
        <w:tabs>
          <w:tab w:val="left" w:pos="2160"/>
        </w:tabs>
        <w:spacing w:line="360" w:lineRule="auto"/>
        <w:ind w:firstLine="420" w:firstLineChars="200"/>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w:t>
      </w:r>
      <w:r>
        <w:rPr>
          <w:rFonts w:hint="default" w:ascii="宋体" w:hAnsi="宋体" w:cs="宋体"/>
          <w:color w:val="auto"/>
          <w:sz w:val="21"/>
          <w:szCs w:val="21"/>
          <w:highlight w:val="none"/>
          <w:lang w:val="en-US" w:eastAsia="zh-CN"/>
        </w:rPr>
        <w:t>服务费用按月结算，每月服务结束后,经甲方验收合格，由乙方开具发票。甲方自收到发票之日起10日内，向乙方转账支付本期服务费。</w:t>
      </w:r>
    </w:p>
    <w:p w14:paraId="748F313E">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结算方式：银行转账。</w:t>
      </w:r>
    </w:p>
    <w:p w14:paraId="65DDC971">
      <w:pPr>
        <w:tabs>
          <w:tab w:val="left" w:pos="540"/>
          <w:tab w:val="left" w:pos="720"/>
        </w:tabs>
        <w:spacing w:line="360" w:lineRule="auto"/>
        <w:ind w:right="25" w:firstLine="538"/>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五</w:t>
      </w:r>
      <w:r>
        <w:rPr>
          <w:rFonts w:hint="eastAsia" w:ascii="宋体" w:hAnsi="宋体" w:eastAsia="宋体" w:cs="宋体"/>
          <w:b/>
          <w:color w:val="auto"/>
          <w:sz w:val="21"/>
          <w:szCs w:val="21"/>
          <w:highlight w:val="none"/>
        </w:rPr>
        <w:t>条 服务标准</w:t>
      </w:r>
      <w:r>
        <w:rPr>
          <w:rFonts w:hint="eastAsia" w:ascii="宋体" w:hAnsi="宋体" w:eastAsia="宋体" w:cs="宋体"/>
          <w:b/>
          <w:color w:val="auto"/>
          <w:sz w:val="21"/>
          <w:szCs w:val="21"/>
          <w:highlight w:val="none"/>
          <w:lang w:eastAsia="zh-CN"/>
        </w:rPr>
        <w:t>及服务质量保证</w:t>
      </w:r>
    </w:p>
    <w:p w14:paraId="0552E7A0">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乙方为甲方交付的服务应符合招标(采购)文件所述的内容，如果没有提及适用标准，则应符合相应的国家标准。这些标准必须是有关机构发布的最新版本的标准。</w:t>
      </w:r>
    </w:p>
    <w:p w14:paraId="103543A8">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乙方应保证所提供的服务，符合合同规定的技术要求。如不符时，乙方应负全责并尽快处理解决，由此造成的损失和相关费用由乙方负责，甲方保留终止合同及索赔的权利。</w:t>
      </w:r>
    </w:p>
    <w:p w14:paraId="17DDB8ED">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乙方应保证通过执行合同中全部方案后，可以取得本合同规定的结果，达到本合同规定的预期目标。对任何情况下出现问题的，应尽快提出解决方案。</w:t>
      </w:r>
    </w:p>
    <w:p w14:paraId="658556A7">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如果乙方提供的服务和解决方案不符合甲方要求，或在规定的时间内没有弥补缺陷，甲方有权采取一切必要的补救措施，由此产生的费用全部由乙方负责。</w:t>
      </w:r>
    </w:p>
    <w:p w14:paraId="0AB30FEF">
      <w:pPr>
        <w:tabs>
          <w:tab w:val="left" w:pos="540"/>
          <w:tab w:val="left" w:pos="720"/>
        </w:tabs>
        <w:spacing w:line="360" w:lineRule="auto"/>
        <w:ind w:right="25" w:firstLine="538"/>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六</w:t>
      </w:r>
      <w:r>
        <w:rPr>
          <w:rFonts w:hint="eastAsia" w:ascii="宋体" w:hAnsi="宋体" w:eastAsia="宋体" w:cs="宋体"/>
          <w:b/>
          <w:color w:val="auto"/>
          <w:sz w:val="21"/>
          <w:szCs w:val="21"/>
          <w:highlight w:val="none"/>
        </w:rPr>
        <w:t xml:space="preserve">条 </w:t>
      </w:r>
      <w:r>
        <w:rPr>
          <w:rFonts w:hint="eastAsia" w:ascii="宋体" w:hAnsi="宋体" w:eastAsia="宋体" w:cs="宋体"/>
          <w:b/>
          <w:color w:val="auto"/>
          <w:sz w:val="21"/>
          <w:szCs w:val="21"/>
          <w:highlight w:val="none"/>
          <w:lang w:eastAsia="zh-CN"/>
        </w:rPr>
        <w:t>验收</w:t>
      </w:r>
    </w:p>
    <w:p w14:paraId="768D5B7E">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验收：乙方完成服务内容后，向甲方提出验收申请，甲方接到乙方验收申请后组织验收（必要时可聘请相应专家或委托相应部门验收），验收合格后，出具使用验收合格证明。</w:t>
      </w:r>
    </w:p>
    <w:p w14:paraId="26FB8C54">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最终验收：乙方填写验收单，并向甲方提交实施过程中的所有资料，以便甲方日后管理和维护。</w:t>
      </w:r>
    </w:p>
    <w:p w14:paraId="1C9611CB">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验收依据</w:t>
      </w:r>
      <w:r>
        <w:rPr>
          <w:rFonts w:hint="eastAsia" w:ascii="宋体" w:hAnsi="宋体" w:cs="宋体"/>
          <w:color w:val="auto"/>
          <w:sz w:val="21"/>
          <w:szCs w:val="21"/>
          <w:highlight w:val="none"/>
          <w:lang w:eastAsia="zh-CN"/>
        </w:rPr>
        <w:t>及标准</w:t>
      </w:r>
      <w:r>
        <w:rPr>
          <w:rFonts w:hint="eastAsia" w:ascii="宋体" w:hAnsi="宋体" w:eastAsia="宋体" w:cs="宋体"/>
          <w:color w:val="auto"/>
          <w:sz w:val="21"/>
          <w:szCs w:val="21"/>
          <w:highlight w:val="none"/>
        </w:rPr>
        <w:t>：</w:t>
      </w:r>
    </w:p>
    <w:p w14:paraId="77A47931">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3.1</w:t>
      </w:r>
      <w:r>
        <w:rPr>
          <w:rFonts w:hint="eastAsia" w:ascii="宋体" w:hAnsi="宋体" w:eastAsia="宋体" w:cs="宋体"/>
          <w:color w:val="auto"/>
          <w:sz w:val="21"/>
          <w:szCs w:val="21"/>
          <w:highlight w:val="none"/>
        </w:rPr>
        <w:t>合同文本、合同附件、竞争性磋商文件、成交供应商的响应文件。</w:t>
      </w:r>
    </w:p>
    <w:p w14:paraId="3135F1C3">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3.2符合国家相关法律要求，确保消防系统运转正常</w:t>
      </w:r>
      <w:r>
        <w:rPr>
          <w:rFonts w:hint="eastAsia" w:ascii="宋体" w:hAnsi="宋体" w:eastAsia="宋体" w:cs="宋体"/>
          <w:color w:val="auto"/>
          <w:sz w:val="21"/>
          <w:szCs w:val="21"/>
          <w:highlight w:val="none"/>
        </w:rPr>
        <w:t>。</w:t>
      </w:r>
    </w:p>
    <w:p w14:paraId="556A7ACD">
      <w:pPr>
        <w:tabs>
          <w:tab w:val="left" w:pos="540"/>
          <w:tab w:val="left" w:pos="720"/>
        </w:tabs>
        <w:spacing w:line="360" w:lineRule="auto"/>
        <w:ind w:right="25" w:firstLine="528"/>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七</w:t>
      </w:r>
      <w:r>
        <w:rPr>
          <w:rFonts w:hint="eastAsia" w:ascii="宋体" w:hAnsi="宋体" w:eastAsia="宋体" w:cs="宋体"/>
          <w:b/>
          <w:color w:val="auto"/>
          <w:sz w:val="21"/>
          <w:szCs w:val="21"/>
          <w:highlight w:val="none"/>
        </w:rPr>
        <w:t>条 违约责任</w:t>
      </w:r>
    </w:p>
    <w:p w14:paraId="6E11C4C7">
      <w:pPr>
        <w:tabs>
          <w:tab w:val="left" w:pos="540"/>
          <w:tab w:val="left" w:pos="720"/>
        </w:tabs>
        <w:spacing w:line="360" w:lineRule="auto"/>
        <w:ind w:right="25" w:firstLine="538"/>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乙方未按合同约定进行服务，首次发生的，可对乙方进行口头或书面警告，并处以2000-5000元违约金；第二次发生的，对乙方按照年度维保费总额的10%处以违约金；第三次发生的，甲方有权利终止合同，并依法追究乙方的违约责任及由此造成的全部损失。</w:t>
      </w:r>
    </w:p>
    <w:p w14:paraId="437E5E11">
      <w:pPr>
        <w:tabs>
          <w:tab w:val="left" w:pos="540"/>
          <w:tab w:val="left" w:pos="720"/>
        </w:tabs>
        <w:spacing w:line="360" w:lineRule="auto"/>
        <w:ind w:right="25" w:firstLine="538"/>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任何一方因不可抗力原因不能履行协议时，应尽快通知对方，双方均设法补偿。如仍无法履约协议，可协商延缓或撤销协议，双方责任免除。</w:t>
      </w:r>
    </w:p>
    <w:p w14:paraId="710DE017">
      <w:pPr>
        <w:tabs>
          <w:tab w:val="left" w:pos="540"/>
          <w:tab w:val="left" w:pos="720"/>
        </w:tabs>
        <w:spacing w:line="360" w:lineRule="auto"/>
        <w:ind w:right="25" w:firstLine="53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八</w:t>
      </w:r>
      <w:r>
        <w:rPr>
          <w:rFonts w:hint="eastAsia" w:ascii="宋体" w:hAnsi="宋体" w:eastAsia="宋体" w:cs="宋体"/>
          <w:b/>
          <w:color w:val="auto"/>
          <w:sz w:val="21"/>
          <w:szCs w:val="21"/>
          <w:highlight w:val="none"/>
        </w:rPr>
        <w:t>条 不可抗力</w:t>
      </w:r>
    </w:p>
    <w:p w14:paraId="1D92E387">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1.如果发生不可抗力事件致使本合同一方暂时或永久不能全部或部分履行其在本合同项下的义务的，则其可以中止或终止履行本合同项下的全部或部分义务，而不视为违约。 但宣称遭受不可抗力的一方应迅速书面通知对方，并在不可抗力发生后十五(15)天内提供有权机构出具的不可抗力发生及其持续时间的正式书面证明文件。</w:t>
      </w:r>
    </w:p>
    <w:p w14:paraId="69304A18">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前述“不可抗力”指在本合同签署后发生的、本合同签署时不能预见的、其发生与后果是无法避免或克服的、妨碍任何一方全部或部分履约的所有事件。上述事件包括但不限于网络黑客攻击、地震、台风、水灾、火灾、战争、国际或国内运</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输中断、流行病、罢工，以及根据中国法律或一般国际商业惯例认作不可抗力的其他事件。</w:t>
      </w:r>
    </w:p>
    <w:p w14:paraId="583CF98D">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3.不可抗力持续超过【20】日或者累计超过【20】日的，本合同任何一方均有权单方终止本合同，但终止方应向对方发出终止本合同的书面通知，本合同自前述终止通知到达对方后本合同即告终止。</w:t>
      </w:r>
    </w:p>
    <w:p w14:paraId="1BC04921">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4.本合同按照前款约定终止后，甲方已经按照本合同约定向乙方支付的</w:t>
      </w:r>
      <w:r>
        <w:rPr>
          <w:rFonts w:hint="eastAsia" w:ascii="宋体" w:hAnsi="宋体" w:eastAsia="宋体" w:cs="宋体"/>
          <w:color w:val="auto"/>
          <w:sz w:val="21"/>
          <w:szCs w:val="21"/>
          <w:highlight w:val="none"/>
          <w:lang w:eastAsia="zh-CN"/>
        </w:rPr>
        <w:t>服务费</w:t>
      </w:r>
      <w:r>
        <w:rPr>
          <w:rFonts w:hint="eastAsia" w:ascii="宋体" w:hAnsi="宋体" w:eastAsia="宋体" w:cs="宋体"/>
          <w:color w:val="auto"/>
          <w:sz w:val="21"/>
          <w:szCs w:val="21"/>
          <w:highlight w:val="none"/>
        </w:rPr>
        <w:t>，乙方不予退还，甲方尚未向乙方支付的</w:t>
      </w:r>
      <w:r>
        <w:rPr>
          <w:rFonts w:hint="eastAsia" w:ascii="宋体" w:hAnsi="宋体" w:eastAsia="宋体" w:cs="宋体"/>
          <w:color w:val="auto"/>
          <w:sz w:val="21"/>
          <w:szCs w:val="21"/>
          <w:highlight w:val="none"/>
          <w:lang w:eastAsia="zh-CN"/>
        </w:rPr>
        <w:t>服务费</w:t>
      </w:r>
      <w:r>
        <w:rPr>
          <w:rFonts w:hint="eastAsia" w:ascii="宋体" w:hAnsi="宋体" w:eastAsia="宋体" w:cs="宋体"/>
          <w:color w:val="auto"/>
          <w:sz w:val="21"/>
          <w:szCs w:val="21"/>
          <w:highlight w:val="none"/>
        </w:rPr>
        <w:t>，乙方不再收取。</w:t>
      </w:r>
    </w:p>
    <w:p w14:paraId="3F84ED2F">
      <w:pPr>
        <w:tabs>
          <w:tab w:val="left" w:pos="540"/>
          <w:tab w:val="left" w:pos="720"/>
        </w:tabs>
        <w:spacing w:line="360" w:lineRule="auto"/>
        <w:ind w:right="25" w:firstLine="53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九</w:t>
      </w:r>
      <w:r>
        <w:rPr>
          <w:rFonts w:hint="eastAsia" w:ascii="宋体" w:hAnsi="宋体" w:eastAsia="宋体" w:cs="宋体"/>
          <w:b/>
          <w:color w:val="auto"/>
          <w:sz w:val="21"/>
          <w:szCs w:val="21"/>
          <w:highlight w:val="none"/>
        </w:rPr>
        <w:t>条 争议解决</w:t>
      </w:r>
    </w:p>
    <w:p w14:paraId="0A0F2DC8">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因本合同的磋商、签订及履行等发生的与本合同有关的一切争议和纠纷，双方均应按有关法律规定及时协商处理，协商不成，可向向西安仲裁委员会提请仲裁。</w:t>
      </w:r>
    </w:p>
    <w:p w14:paraId="63EF0455">
      <w:pPr>
        <w:tabs>
          <w:tab w:val="left" w:pos="540"/>
          <w:tab w:val="left" w:pos="720"/>
        </w:tabs>
        <w:spacing w:line="360" w:lineRule="auto"/>
        <w:ind w:right="25" w:firstLine="53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十</w:t>
      </w:r>
      <w:r>
        <w:rPr>
          <w:rFonts w:hint="eastAsia" w:ascii="宋体" w:hAnsi="宋体" w:eastAsia="宋体" w:cs="宋体"/>
          <w:b/>
          <w:color w:val="auto"/>
          <w:sz w:val="21"/>
          <w:szCs w:val="21"/>
          <w:highlight w:val="none"/>
        </w:rPr>
        <w:t>条 其他</w:t>
      </w:r>
    </w:p>
    <w:p w14:paraId="7A06A9AF">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本合同未尽事宜，双方应本着实事求是友好协商的态度加以解决。双方协商一致的，签订补充协议，补充协议须经双方法定代表人或授权代表签字且加盖公章或合同专用章后生效，生效后的该等书面补充协议与本合同具有同等法律效力。</w:t>
      </w:r>
    </w:p>
    <w:p w14:paraId="30CF099E">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2.本合同由双方法定代表人或授权代表签字且加盖双方公章或合同专用章即生效。全部成果交接完毕和</w:t>
      </w:r>
      <w:r>
        <w:rPr>
          <w:rFonts w:hint="eastAsia" w:ascii="宋体" w:hAnsi="宋体" w:eastAsia="宋体" w:cs="宋体"/>
          <w:color w:val="auto"/>
          <w:sz w:val="21"/>
          <w:szCs w:val="21"/>
          <w:highlight w:val="none"/>
          <w:lang w:eastAsia="zh-CN"/>
        </w:rPr>
        <w:t>服务</w:t>
      </w:r>
      <w:r>
        <w:rPr>
          <w:rFonts w:hint="eastAsia" w:ascii="宋体" w:hAnsi="宋体" w:eastAsia="宋体" w:cs="宋体"/>
          <w:color w:val="auto"/>
          <w:sz w:val="21"/>
          <w:szCs w:val="21"/>
          <w:highlight w:val="none"/>
        </w:rPr>
        <w:t>费结算完成后，本合同终止。</w:t>
      </w:r>
    </w:p>
    <w:p w14:paraId="4E299927">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3.本合同一式伍份，甲方执叁份，乙方执贰份，每份具有同等法律效力。</w:t>
      </w:r>
    </w:p>
    <w:p w14:paraId="34D74922">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4.本合同各方送达信息及指定付款/收款账户信息如下：</w:t>
      </w:r>
    </w:p>
    <w:tbl>
      <w:tblPr>
        <w:tblStyle w:val="5"/>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3933"/>
        <w:gridCol w:w="540"/>
        <w:gridCol w:w="4032"/>
      </w:tblGrid>
      <w:tr w14:paraId="01C4B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567" w:type="dxa"/>
            <w:vMerge w:val="restart"/>
            <w:noWrap w:val="0"/>
            <w:vAlign w:val="center"/>
          </w:tcPr>
          <w:p w14:paraId="1280559B">
            <w:pPr>
              <w:keepNext w:val="0"/>
              <w:keepLines w:val="0"/>
              <w:suppressLineNumbers w:val="0"/>
              <w:tabs>
                <w:tab w:val="left" w:pos="540"/>
                <w:tab w:val="left" w:pos="720"/>
              </w:tabs>
              <w:spacing w:before="0" w:beforeAutospacing="0" w:after="0" w:afterAutospacing="0" w:line="360" w:lineRule="auto"/>
              <w:ind w:left="0" w:right="2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委托方</w:t>
            </w:r>
          </w:p>
        </w:tc>
        <w:tc>
          <w:tcPr>
            <w:tcW w:w="3933" w:type="dxa"/>
            <w:noWrap w:val="0"/>
            <w:vAlign w:val="center"/>
          </w:tcPr>
          <w:p w14:paraId="35EF26DF">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联系地址：</w:t>
            </w:r>
          </w:p>
        </w:tc>
        <w:tc>
          <w:tcPr>
            <w:tcW w:w="540" w:type="dxa"/>
            <w:vMerge w:val="restart"/>
            <w:noWrap w:val="0"/>
            <w:vAlign w:val="center"/>
          </w:tcPr>
          <w:p w14:paraId="3DC8E556">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承揽方</w:t>
            </w:r>
          </w:p>
        </w:tc>
        <w:tc>
          <w:tcPr>
            <w:tcW w:w="4032" w:type="dxa"/>
            <w:noWrap w:val="0"/>
            <w:vAlign w:val="center"/>
          </w:tcPr>
          <w:p w14:paraId="199E5DDF">
            <w:pPr>
              <w:keepNext w:val="0"/>
              <w:keepLines w:val="0"/>
              <w:suppressLineNumbers w:val="0"/>
              <w:tabs>
                <w:tab w:val="left" w:pos="540"/>
                <w:tab w:val="left" w:pos="720"/>
              </w:tabs>
              <w:spacing w:before="0" w:beforeAutospacing="0" w:after="0" w:afterAutospacing="0" w:line="360" w:lineRule="auto"/>
              <w:ind w:left="0" w:right="2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联系地址：</w:t>
            </w:r>
          </w:p>
        </w:tc>
      </w:tr>
      <w:tr w14:paraId="4046D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567" w:type="dxa"/>
            <w:vMerge w:val="continue"/>
            <w:noWrap w:val="0"/>
            <w:vAlign w:val="top"/>
          </w:tcPr>
          <w:p w14:paraId="1E61FDEA">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3933" w:type="dxa"/>
            <w:noWrap w:val="0"/>
            <w:vAlign w:val="center"/>
          </w:tcPr>
          <w:p w14:paraId="78A4E3BC">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邮政编码：</w:t>
            </w:r>
          </w:p>
        </w:tc>
        <w:tc>
          <w:tcPr>
            <w:tcW w:w="540" w:type="dxa"/>
            <w:vMerge w:val="continue"/>
            <w:noWrap w:val="0"/>
            <w:vAlign w:val="center"/>
          </w:tcPr>
          <w:p w14:paraId="0AC837C3">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4032" w:type="dxa"/>
            <w:noWrap w:val="0"/>
            <w:vAlign w:val="center"/>
          </w:tcPr>
          <w:p w14:paraId="0CBFC9CB">
            <w:pPr>
              <w:keepNext w:val="0"/>
              <w:keepLines w:val="0"/>
              <w:suppressLineNumbers w:val="0"/>
              <w:tabs>
                <w:tab w:val="left" w:pos="540"/>
                <w:tab w:val="left" w:pos="720"/>
              </w:tabs>
              <w:spacing w:before="0" w:beforeAutospacing="0" w:after="0" w:afterAutospacing="0" w:line="360" w:lineRule="auto"/>
              <w:ind w:left="0" w:right="2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邮政编码：</w:t>
            </w:r>
          </w:p>
        </w:tc>
      </w:tr>
      <w:tr w14:paraId="3DBF5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567" w:type="dxa"/>
            <w:vMerge w:val="continue"/>
            <w:noWrap w:val="0"/>
            <w:vAlign w:val="top"/>
          </w:tcPr>
          <w:p w14:paraId="68484076">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3933" w:type="dxa"/>
            <w:noWrap w:val="0"/>
            <w:vAlign w:val="center"/>
          </w:tcPr>
          <w:p w14:paraId="344CB0CB">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联系人：</w:t>
            </w:r>
          </w:p>
        </w:tc>
        <w:tc>
          <w:tcPr>
            <w:tcW w:w="540" w:type="dxa"/>
            <w:vMerge w:val="continue"/>
            <w:noWrap w:val="0"/>
            <w:vAlign w:val="center"/>
          </w:tcPr>
          <w:p w14:paraId="0943BE8F">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4032" w:type="dxa"/>
            <w:noWrap w:val="0"/>
            <w:vAlign w:val="center"/>
          </w:tcPr>
          <w:p w14:paraId="14DC25D4">
            <w:pPr>
              <w:keepNext w:val="0"/>
              <w:keepLines w:val="0"/>
              <w:suppressLineNumbers w:val="0"/>
              <w:tabs>
                <w:tab w:val="left" w:pos="540"/>
                <w:tab w:val="left" w:pos="720"/>
              </w:tabs>
              <w:spacing w:before="0" w:beforeAutospacing="0" w:after="0" w:afterAutospacing="0" w:line="360" w:lineRule="auto"/>
              <w:ind w:left="0" w:right="2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 系 人：</w:t>
            </w:r>
          </w:p>
        </w:tc>
      </w:tr>
      <w:tr w14:paraId="2F78F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567" w:type="dxa"/>
            <w:vMerge w:val="continue"/>
            <w:noWrap w:val="0"/>
            <w:vAlign w:val="top"/>
          </w:tcPr>
          <w:p w14:paraId="77660815">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3933" w:type="dxa"/>
            <w:noWrap w:val="0"/>
            <w:vAlign w:val="center"/>
          </w:tcPr>
          <w:p w14:paraId="7F601F92">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w:t>
            </w:r>
          </w:p>
        </w:tc>
        <w:tc>
          <w:tcPr>
            <w:tcW w:w="540" w:type="dxa"/>
            <w:vMerge w:val="continue"/>
            <w:noWrap w:val="0"/>
            <w:vAlign w:val="center"/>
          </w:tcPr>
          <w:p w14:paraId="1F74EFD3">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4032" w:type="dxa"/>
            <w:noWrap w:val="0"/>
            <w:vAlign w:val="center"/>
          </w:tcPr>
          <w:p w14:paraId="7324CD21">
            <w:pPr>
              <w:keepNext w:val="0"/>
              <w:keepLines w:val="0"/>
              <w:suppressLineNumbers w:val="0"/>
              <w:tabs>
                <w:tab w:val="left" w:pos="540"/>
                <w:tab w:val="left" w:pos="720"/>
              </w:tabs>
              <w:spacing w:before="0" w:beforeAutospacing="0" w:after="0" w:afterAutospacing="0" w:line="360" w:lineRule="auto"/>
              <w:ind w:left="1050" w:right="25" w:hanging="1050" w:hangingChars="5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w:t>
            </w:r>
          </w:p>
        </w:tc>
      </w:tr>
      <w:tr w14:paraId="30D69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567" w:type="dxa"/>
            <w:vMerge w:val="continue"/>
            <w:noWrap w:val="0"/>
            <w:vAlign w:val="top"/>
          </w:tcPr>
          <w:p w14:paraId="1697AC09">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3933" w:type="dxa"/>
            <w:noWrap w:val="0"/>
            <w:vAlign w:val="top"/>
          </w:tcPr>
          <w:p w14:paraId="44770A23">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tc>
        <w:tc>
          <w:tcPr>
            <w:tcW w:w="540" w:type="dxa"/>
            <w:vMerge w:val="continue"/>
            <w:noWrap w:val="0"/>
            <w:vAlign w:val="center"/>
          </w:tcPr>
          <w:p w14:paraId="4C64F7F3">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4032" w:type="dxa"/>
            <w:noWrap w:val="0"/>
            <w:vAlign w:val="center"/>
          </w:tcPr>
          <w:p w14:paraId="149F1EC5">
            <w:pPr>
              <w:keepNext w:val="0"/>
              <w:keepLines w:val="0"/>
              <w:suppressLineNumbers w:val="0"/>
              <w:tabs>
                <w:tab w:val="left" w:pos="540"/>
                <w:tab w:val="left" w:pos="720"/>
              </w:tabs>
              <w:spacing w:before="0" w:beforeAutospacing="0" w:after="0" w:afterAutospacing="0" w:line="360" w:lineRule="auto"/>
              <w:ind w:left="0" w:right="2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tc>
      </w:tr>
      <w:tr w14:paraId="6E218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567" w:type="dxa"/>
            <w:vMerge w:val="continue"/>
            <w:noWrap w:val="0"/>
            <w:vAlign w:val="top"/>
          </w:tcPr>
          <w:p w14:paraId="6455BE12">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3933" w:type="dxa"/>
            <w:noWrap w:val="0"/>
            <w:vAlign w:val="center"/>
          </w:tcPr>
          <w:p w14:paraId="205C3586">
            <w:pPr>
              <w:keepNext w:val="0"/>
              <w:keepLines w:val="0"/>
              <w:suppressLineNumbers w:val="0"/>
              <w:tabs>
                <w:tab w:val="left" w:pos="540"/>
                <w:tab w:val="left" w:pos="720"/>
              </w:tabs>
              <w:spacing w:before="0" w:beforeAutospacing="0" w:after="0" w:afterAutospacing="0" w:line="360" w:lineRule="auto"/>
              <w:ind w:left="0" w:right="2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银行账号：</w:t>
            </w:r>
          </w:p>
        </w:tc>
        <w:tc>
          <w:tcPr>
            <w:tcW w:w="540" w:type="dxa"/>
            <w:vMerge w:val="continue"/>
            <w:noWrap w:val="0"/>
            <w:vAlign w:val="center"/>
          </w:tcPr>
          <w:p w14:paraId="4B79731B">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4032" w:type="dxa"/>
            <w:noWrap w:val="0"/>
            <w:vAlign w:val="center"/>
          </w:tcPr>
          <w:p w14:paraId="09337DE1">
            <w:pPr>
              <w:keepNext w:val="0"/>
              <w:keepLines w:val="0"/>
              <w:suppressLineNumbers w:val="0"/>
              <w:tabs>
                <w:tab w:val="left" w:pos="540"/>
                <w:tab w:val="left" w:pos="720"/>
              </w:tabs>
              <w:spacing w:before="0" w:beforeAutospacing="0" w:after="0" w:afterAutospacing="0" w:line="360" w:lineRule="auto"/>
              <w:ind w:left="0" w:right="2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银行账号：</w:t>
            </w:r>
          </w:p>
        </w:tc>
      </w:tr>
      <w:tr w14:paraId="769D3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567" w:type="dxa"/>
            <w:vMerge w:val="continue"/>
            <w:noWrap w:val="0"/>
            <w:vAlign w:val="top"/>
          </w:tcPr>
          <w:p w14:paraId="0C7CBF94">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3933" w:type="dxa"/>
            <w:noWrap w:val="0"/>
            <w:vAlign w:val="center"/>
          </w:tcPr>
          <w:p w14:paraId="32EFFFB2">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开户名称：</w:t>
            </w:r>
          </w:p>
        </w:tc>
        <w:tc>
          <w:tcPr>
            <w:tcW w:w="540" w:type="dxa"/>
            <w:vMerge w:val="continue"/>
            <w:noWrap w:val="0"/>
            <w:vAlign w:val="center"/>
          </w:tcPr>
          <w:p w14:paraId="36C1C813">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4032" w:type="dxa"/>
            <w:noWrap w:val="0"/>
            <w:vAlign w:val="center"/>
          </w:tcPr>
          <w:p w14:paraId="6D543341">
            <w:pPr>
              <w:keepNext w:val="0"/>
              <w:keepLines w:val="0"/>
              <w:suppressLineNumbers w:val="0"/>
              <w:tabs>
                <w:tab w:val="left" w:pos="540"/>
                <w:tab w:val="left" w:pos="720"/>
              </w:tabs>
              <w:spacing w:before="0" w:beforeAutospacing="0" w:after="0" w:afterAutospacing="0" w:line="360" w:lineRule="auto"/>
              <w:ind w:left="0" w:right="2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开户名称：</w:t>
            </w:r>
          </w:p>
        </w:tc>
      </w:tr>
    </w:tbl>
    <w:p w14:paraId="66456994">
      <w:pPr>
        <w:tabs>
          <w:tab w:val="left" w:pos="540"/>
          <w:tab w:val="left" w:pos="720"/>
        </w:tabs>
        <w:spacing w:line="360" w:lineRule="auto"/>
        <w:ind w:left="-2"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一方将与本合同有关的通知、文件、信息等按照上述送达信息送达即视为有效送达。一方前述送达信息发生任何变化，变更方应自发生变更之日起五个工作日内以书面形式通知对方，否则视为已经有效送达；本合同任何一方上述指定付款/收款账户信息发生任何变化，变更方应自发生变更之日起五个工作日内以书面形式通知对方，否则，由此引起的付款迟延等后果由变更方自行承担。</w:t>
      </w:r>
    </w:p>
    <w:p w14:paraId="3CABE84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1B82BEFA">
      <w:pPr>
        <w:widowControl/>
        <w:spacing w:line="360" w:lineRule="auto"/>
        <w:jc w:val="both"/>
        <w:rPr>
          <w:rFonts w:hint="eastAsia" w:ascii="宋体" w:hAnsi="宋体" w:eastAsia="宋体" w:cs="宋体"/>
          <w:color w:val="auto"/>
          <w:sz w:val="21"/>
          <w:szCs w:val="21"/>
          <w:highlight w:val="none"/>
        </w:rPr>
      </w:pPr>
      <w:bookmarkStart w:id="0" w:name="_GoBack"/>
      <w:bookmarkEnd w:id="0"/>
    </w:p>
    <w:p w14:paraId="76FD84F5">
      <w:pPr>
        <w:widowControl/>
        <w:spacing w:line="360" w:lineRule="auto"/>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（以下无正文）</w:t>
      </w:r>
    </w:p>
    <w:p w14:paraId="3CF4F3F9">
      <w:pPr>
        <w:tabs>
          <w:tab w:val="left" w:pos="540"/>
          <w:tab w:val="left" w:pos="720"/>
        </w:tabs>
        <w:spacing w:line="360" w:lineRule="auto"/>
        <w:ind w:left="-2" w:right="25" w:firstLine="2"/>
        <w:rPr>
          <w:rFonts w:hint="eastAsia" w:ascii="宋体" w:hAnsi="宋体" w:eastAsia="宋体" w:cs="宋体"/>
          <w:color w:val="auto"/>
          <w:sz w:val="21"/>
          <w:szCs w:val="21"/>
          <w:highlight w:val="none"/>
        </w:rPr>
      </w:pPr>
    </w:p>
    <w:p w14:paraId="1CC24837">
      <w:pPr>
        <w:tabs>
          <w:tab w:val="left" w:pos="540"/>
          <w:tab w:val="left" w:pos="720"/>
        </w:tabs>
        <w:spacing w:line="360" w:lineRule="auto"/>
        <w:ind w:left="-2" w:right="25" w:firstLine="2"/>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委托方（盖章）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承揽方（盖章）</w:t>
      </w:r>
    </w:p>
    <w:p w14:paraId="036F2216">
      <w:pPr>
        <w:tabs>
          <w:tab w:val="left" w:pos="540"/>
          <w:tab w:val="left" w:pos="720"/>
        </w:tabs>
        <w:spacing w:line="360" w:lineRule="auto"/>
        <w:ind w:left="-2" w:right="25" w:firstLine="2"/>
        <w:rPr>
          <w:rFonts w:hint="eastAsia" w:ascii="宋体" w:hAnsi="宋体" w:eastAsia="宋体" w:cs="宋体"/>
          <w:color w:val="auto"/>
          <w:sz w:val="21"/>
          <w:szCs w:val="21"/>
          <w:highlight w:val="none"/>
        </w:rPr>
      </w:pPr>
    </w:p>
    <w:p w14:paraId="52B9704E">
      <w:pPr>
        <w:tabs>
          <w:tab w:val="left" w:pos="540"/>
          <w:tab w:val="left" w:pos="720"/>
        </w:tabs>
        <w:spacing w:line="360" w:lineRule="auto"/>
        <w:ind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法定代表人或授权代表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法定代表人或授权代表</w:t>
      </w:r>
    </w:p>
    <w:p w14:paraId="67866663">
      <w:pPr>
        <w:tabs>
          <w:tab w:val="left" w:pos="540"/>
          <w:tab w:val="left" w:pos="720"/>
        </w:tabs>
        <w:spacing w:line="360" w:lineRule="auto"/>
        <w:ind w:left="-2" w:leftChars="-1" w:right="25"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（签字或盖章）：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（签字或盖章）： </w:t>
      </w:r>
    </w:p>
    <w:p w14:paraId="59BFE5FB">
      <w:pPr>
        <w:tabs>
          <w:tab w:val="left" w:pos="540"/>
          <w:tab w:val="left" w:pos="720"/>
        </w:tabs>
        <w:spacing w:line="360" w:lineRule="auto"/>
        <w:ind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5280CD81">
      <w:pPr>
        <w:tabs>
          <w:tab w:val="left" w:pos="540"/>
          <w:tab w:val="left" w:pos="720"/>
        </w:tabs>
        <w:spacing w:line="360" w:lineRule="auto"/>
        <w:ind w:left="-2" w:leftChars="-1" w:right="25" w:firstLine="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经办人（签字或盖章）：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经办人（签字或盖章）：</w:t>
      </w:r>
    </w:p>
    <w:p w14:paraId="17BE7965">
      <w:pPr>
        <w:tabs>
          <w:tab w:val="left" w:pos="540"/>
          <w:tab w:val="left" w:pos="720"/>
        </w:tabs>
        <w:spacing w:line="360" w:lineRule="auto"/>
        <w:ind w:left="-2" w:leftChars="-1" w:right="25" w:firstLine="1"/>
        <w:rPr>
          <w:rFonts w:hint="eastAsia" w:ascii="宋体" w:hAnsi="宋体" w:eastAsia="宋体" w:cs="宋体"/>
          <w:color w:val="auto"/>
          <w:sz w:val="21"/>
          <w:szCs w:val="21"/>
          <w:highlight w:val="none"/>
        </w:rPr>
      </w:pPr>
    </w:p>
    <w:p w14:paraId="153ED1B0">
      <w:pPr>
        <w:tabs>
          <w:tab w:val="left" w:pos="540"/>
          <w:tab w:val="left" w:pos="720"/>
        </w:tabs>
        <w:wordWrap w:val="0"/>
        <w:spacing w:line="360" w:lineRule="auto"/>
        <w:ind w:left="-181" w:leftChars="-86" w:right="25" w:firstLine="134" w:firstLineChars="64"/>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合同订立时间：      年   月  日</w:t>
      </w:r>
    </w:p>
    <w:p w14:paraId="41205A9E">
      <w:pPr>
        <w:bidi w:val="0"/>
        <w:rPr>
          <w:rFonts w:ascii="宋体" w:hAnsi="宋体"/>
          <w:color w:val="auto"/>
          <w:kern w:val="44"/>
          <w:position w:val="0"/>
          <w:szCs w:val="44"/>
          <w:highlight w:val="none"/>
        </w:rPr>
      </w:pPr>
    </w:p>
    <w:p w14:paraId="08894904">
      <w:pPr>
        <w:spacing w:line="360" w:lineRule="auto"/>
        <w:ind w:firstLine="4016" w:firstLineChars="1905"/>
        <w:rPr>
          <w:rFonts w:hint="eastAsia" w:asciiTheme="minorEastAsia" w:hAnsiTheme="minorEastAsia" w:eastAsiaTheme="minorEastAsia" w:cstheme="minorEastAsia"/>
          <w:b/>
          <w:bCs/>
          <w:color w:val="auto"/>
          <w:sz w:val="21"/>
          <w:szCs w:val="21"/>
          <w:highlight w:val="none"/>
        </w:rPr>
      </w:pPr>
    </w:p>
    <w:p w14:paraId="3EAECFD3">
      <w:pPr>
        <w:pStyle w:val="2"/>
        <w:spacing w:before="75" w:line="360" w:lineRule="auto"/>
        <w:ind w:left="3335"/>
        <w:outlineLvl w:val="0"/>
        <w:rPr>
          <w:rFonts w:hint="eastAsia" w:asciiTheme="minorEastAsia" w:hAnsiTheme="minorEastAsia" w:eastAsiaTheme="minorEastAsia" w:cstheme="minorEastAsia"/>
          <w:b/>
          <w:bCs/>
          <w:color w:val="auto"/>
          <w:spacing w:val="-7"/>
          <w:sz w:val="21"/>
          <w:szCs w:val="21"/>
          <w:highlight w:val="none"/>
          <w:lang w:val="en-US" w:eastAsia="zh-Hans"/>
        </w:rPr>
      </w:pPr>
    </w:p>
    <w:p w14:paraId="357D0D7E">
      <w:pPr>
        <w:rPr>
          <w:color w:val="auto"/>
        </w:rPr>
      </w:pPr>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20360">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D75B82">
                          <w:pPr>
                            <w:pStyle w:val="4"/>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7D75B82">
                    <w:pPr>
                      <w:pStyle w:val="4"/>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19B9D">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29A225">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C29A225">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27E39">
    <w:pPr>
      <w:pStyle w:val="2"/>
      <w:spacing w:line="225" w:lineRule="auto"/>
      <w:rPr>
        <w:sz w:val="13"/>
        <w:szCs w:val="13"/>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76996"/>
    <w:rsid w:val="1DB21974"/>
    <w:rsid w:val="224B4901"/>
    <w:rsid w:val="41DD3FC8"/>
    <w:rsid w:val="4D2E27CC"/>
    <w:rsid w:val="4DC9517F"/>
    <w:rsid w:val="53882740"/>
    <w:rsid w:val="53B91215"/>
    <w:rsid w:val="58471E4A"/>
    <w:rsid w:val="5A6C1F07"/>
    <w:rsid w:val="5C597204"/>
    <w:rsid w:val="677E45A2"/>
    <w:rsid w:val="7419168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22"/>
      <w:szCs w:val="22"/>
      <w:lang w:val="en-US" w:eastAsia="en-US" w:bidi="ar-SA"/>
    </w:rPr>
  </w:style>
  <w:style w:type="paragraph" w:styleId="3">
    <w:name w:val="Body Text Indent"/>
    <w:basedOn w:val="1"/>
    <w:qFormat/>
    <w:uiPriority w:val="99"/>
    <w:pPr>
      <w:spacing w:line="360" w:lineRule="auto"/>
      <w:ind w:firstLine="570"/>
    </w:pPr>
  </w:style>
  <w:style w:type="paragraph" w:styleId="4">
    <w:name w:val="footer"/>
    <w:basedOn w:val="1"/>
    <w:qFormat/>
    <w:uiPriority w:val="0"/>
    <w:pPr>
      <w:pBdr>
        <w:top w:val="single" w:color="auto" w:sz="4" w:space="1"/>
      </w:pBdr>
      <w:tabs>
        <w:tab w:val="center" w:pos="4153"/>
        <w:tab w:val="right" w:pos="8306"/>
      </w:tabs>
      <w:snapToGrid w:val="0"/>
      <w:jc w:val="left"/>
    </w:pPr>
    <w:rPr>
      <w:position w:val="0"/>
      <w:sz w:val="18"/>
      <w:szCs w:val="18"/>
    </w:rPr>
  </w:style>
  <w:style w:type="character" w:styleId="7">
    <w:name w:val="page number"/>
    <w:basedOn w:val="6"/>
    <w:qFormat/>
    <w:uiPriority w:val="0"/>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2873</Words>
  <Characters>2973</Characters>
  <Lines>0</Lines>
  <Paragraphs>0</Paragraphs>
  <TotalTime>0</TotalTime>
  <ScaleCrop>false</ScaleCrop>
  <LinksUpToDate>false</LinksUpToDate>
  <CharactersWithSpaces>3163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2023-12-29T09:02:00Z</dcterms:created>
  <dc:creator>Administrator</dc:creator>
  <cp:lastModifiedBy>admin</cp:lastModifiedBy>
  <dcterms:modified xsi:type="dcterms:W3CDTF">2026-04-30T06:44:05Z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ED852B73971D4EB0B2B9AAA2EDED15F0_13</vt:lpwstr>
  </property>
  <property fmtid="{D5CDD505-2E9C-101B-9397-08002B2CF9AE}" pid="4" name="KSOTemplateDocerSaveRecord">
    <vt:lpwstr>eyJoZGlkIjoiY2U0M2E2ZjcwYzFiMjk5NDE5ZDJmY2FlMmRmOWFkY2EiLCJ1c2VySWQiOiI0NTM5NzY3MDQifQ==</vt:lpwstr>
  </property>
</Properties>
</file>