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927AF3">
      <w:pPr>
        <w:spacing w:before="0" w:after="0" w:line="500" w:lineRule="exact"/>
        <w:jc w:val="center"/>
        <w:rPr>
          <w:rFonts w:hint="eastAsia" w:ascii="宋体" w:hAnsi="宋体" w:cs="宋体"/>
          <w:b/>
          <w:bCs/>
          <w:color w:val="auto"/>
          <w:kern w:val="0"/>
          <w:sz w:val="36"/>
          <w:szCs w:val="36"/>
          <w:highlight w:val="none"/>
          <w:lang w:val="en-US" w:eastAsia="zh-CN"/>
        </w:rPr>
      </w:pPr>
    </w:p>
    <w:p w14:paraId="3A0BEA83">
      <w:pPr>
        <w:spacing w:before="0" w:after="0" w:line="500" w:lineRule="exact"/>
        <w:jc w:val="center"/>
        <w:rPr>
          <w:rFonts w:hint="eastAsia" w:ascii="宋体" w:hAnsi="宋体" w:cs="宋体"/>
          <w:b/>
          <w:bCs/>
          <w:color w:val="auto"/>
          <w:kern w:val="0"/>
          <w:sz w:val="36"/>
          <w:szCs w:val="36"/>
          <w:highlight w:val="none"/>
          <w:lang w:val="en-US" w:eastAsia="zh-CN"/>
        </w:rPr>
      </w:pPr>
    </w:p>
    <w:p w14:paraId="20C56AE4">
      <w:pPr>
        <w:spacing w:before="0" w:after="0" w:line="500" w:lineRule="exact"/>
        <w:jc w:val="center"/>
        <w:rPr>
          <w:rFonts w:hint="eastAsia" w:ascii="宋体" w:hAnsi="宋体" w:cs="宋体"/>
          <w:b/>
          <w:bCs/>
          <w:color w:val="auto"/>
          <w:kern w:val="0"/>
          <w:sz w:val="36"/>
          <w:szCs w:val="36"/>
          <w:highlight w:val="none"/>
          <w:lang w:val="en-US" w:eastAsia="zh-CN"/>
        </w:rPr>
      </w:pPr>
    </w:p>
    <w:p w14:paraId="6413F74B">
      <w:pPr>
        <w:spacing w:before="0" w:after="0" w:line="500" w:lineRule="exact"/>
        <w:jc w:val="center"/>
        <w:rPr>
          <w:rFonts w:hint="eastAsia" w:ascii="宋体" w:hAnsi="宋体" w:eastAsia="宋体" w:cs="宋体"/>
          <w:b/>
          <w:bCs/>
          <w:color w:val="auto"/>
          <w:kern w:val="0"/>
          <w:sz w:val="36"/>
          <w:szCs w:val="36"/>
          <w:highlight w:val="none"/>
          <w:lang w:val="en-US" w:eastAsia="zh-CN" w:bidi="ar-SA"/>
        </w:rPr>
      </w:pPr>
      <w:r>
        <w:rPr>
          <w:rFonts w:hint="eastAsia" w:ascii="宋体" w:hAnsi="宋体" w:cs="宋体"/>
          <w:b/>
          <w:bCs/>
          <w:color w:val="auto"/>
          <w:kern w:val="0"/>
          <w:sz w:val="36"/>
          <w:szCs w:val="36"/>
          <w:highlight w:val="none"/>
          <w:lang w:val="en-US" w:eastAsia="zh-CN"/>
        </w:rPr>
        <w:t>西安市生态状况变化调查评估项目</w:t>
      </w:r>
    </w:p>
    <w:p w14:paraId="00C89E9F">
      <w:pPr>
        <w:spacing w:before="0" w:after="0" w:line="500" w:lineRule="exact"/>
        <w:jc w:val="center"/>
        <w:rPr>
          <w:rFonts w:hint="eastAsia" w:ascii="宋体" w:hAnsi="宋体" w:eastAsia="宋体" w:cs="宋体"/>
          <w:b/>
          <w:bCs/>
          <w:color w:val="auto"/>
          <w:kern w:val="0"/>
          <w:sz w:val="36"/>
          <w:szCs w:val="36"/>
          <w:highlight w:val="none"/>
          <w:lang w:val="en-US" w:eastAsia="zh-CN" w:bidi="ar-SA"/>
        </w:rPr>
      </w:pPr>
      <w:r>
        <w:rPr>
          <w:rFonts w:hint="eastAsia" w:ascii="宋体" w:hAnsi="宋体" w:eastAsia="宋体" w:cs="宋体"/>
          <w:b/>
          <w:bCs/>
          <w:color w:val="auto"/>
          <w:kern w:val="0"/>
          <w:sz w:val="36"/>
          <w:szCs w:val="36"/>
          <w:highlight w:val="none"/>
          <w:lang w:val="en-US" w:eastAsia="zh-CN" w:bidi="ar-SA"/>
        </w:rPr>
        <w:t>政府采购合同</w:t>
      </w:r>
    </w:p>
    <w:p w14:paraId="0E24DF0E">
      <w:pPr>
        <w:spacing w:after="0" w:line="360" w:lineRule="auto"/>
        <w:jc w:val="center"/>
        <w:rPr>
          <w:rFonts w:hint="eastAsia" w:ascii="宋体" w:hAnsi="宋体" w:eastAsia="宋体" w:cs="宋体"/>
          <w:color w:val="auto"/>
          <w:sz w:val="24"/>
          <w:szCs w:val="24"/>
          <w:highlight w:val="none"/>
        </w:rPr>
      </w:pPr>
    </w:p>
    <w:p w14:paraId="5D593326">
      <w:pPr>
        <w:spacing w:after="0" w:line="360" w:lineRule="auto"/>
        <w:jc w:val="center"/>
        <w:rPr>
          <w:rFonts w:hint="eastAsia" w:ascii="宋体" w:hAnsi="宋体" w:eastAsia="宋体" w:cs="宋体"/>
          <w:color w:val="auto"/>
          <w:sz w:val="24"/>
          <w:szCs w:val="24"/>
          <w:highlight w:val="none"/>
        </w:rPr>
      </w:pPr>
    </w:p>
    <w:p w14:paraId="24F13A27">
      <w:pPr>
        <w:spacing w:after="0" w:line="360" w:lineRule="auto"/>
        <w:jc w:val="center"/>
        <w:rPr>
          <w:rFonts w:hint="eastAsia" w:ascii="宋体" w:hAnsi="宋体" w:eastAsia="宋体" w:cs="宋体"/>
          <w:color w:val="auto"/>
          <w:sz w:val="24"/>
          <w:szCs w:val="24"/>
          <w:highlight w:val="none"/>
        </w:rPr>
      </w:pPr>
    </w:p>
    <w:p w14:paraId="563FFAA4">
      <w:pPr>
        <w:spacing w:after="0"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（注：本合同样本仅供参考，具体条款内容由采购人和成交供应商协商确定，但不得改变采购文件、响应文件、成交通知书等实质性内容。）</w:t>
      </w:r>
    </w:p>
    <w:p w14:paraId="159E1CB1">
      <w:pP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br w:type="page"/>
      </w:r>
    </w:p>
    <w:p w14:paraId="10AE4A46">
      <w:pPr>
        <w:spacing w:before="0" w:after="0" w:line="500" w:lineRule="exact"/>
        <w:ind w:firstLine="482" w:firstLineChars="200"/>
        <w:jc w:val="center"/>
        <w:rPr>
          <w:rFonts w:hint="default"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政府采购合同</w:t>
      </w:r>
    </w:p>
    <w:p w14:paraId="7A31CA12">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 xml:space="preserve">甲方（采购人）： </w:t>
      </w:r>
      <w:r>
        <w:rPr>
          <w:rFonts w:hint="eastAsia" w:ascii="宋体" w:hAnsi="宋体" w:eastAsia="宋体" w:cs="宋体"/>
          <w:color w:val="auto"/>
          <w:kern w:val="0"/>
          <w:sz w:val="24"/>
          <w:szCs w:val="24"/>
          <w:highlight w:val="none"/>
          <w:u w:val="single"/>
          <w:lang w:val="en-US" w:eastAsia="zh-CN"/>
        </w:rPr>
        <w:t xml:space="preserve">                                  </w:t>
      </w:r>
    </w:p>
    <w:p w14:paraId="3EDB9235">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乙方（成交供应商）：</w:t>
      </w:r>
      <w:r>
        <w:rPr>
          <w:rFonts w:hint="eastAsia" w:ascii="宋体" w:hAnsi="宋体" w:eastAsia="宋体" w:cs="宋体"/>
          <w:color w:val="auto"/>
          <w:kern w:val="0"/>
          <w:sz w:val="24"/>
          <w:szCs w:val="24"/>
          <w:highlight w:val="none"/>
          <w:u w:val="single"/>
          <w:lang w:val="en-US" w:eastAsia="zh-CN"/>
        </w:rPr>
        <w:t xml:space="preserve">                               </w:t>
      </w:r>
    </w:p>
    <w:p w14:paraId="421AC2DF">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依据《中华人民共和国民法典》和《中华人民共和国政府采购法》，经双方在平等、自愿、互利的基础上，签订本合同，共同信守。</w:t>
      </w:r>
    </w:p>
    <w:p w14:paraId="21D24DA4">
      <w:pPr>
        <w:keepNext w:val="0"/>
        <w:keepLines w:val="0"/>
        <w:pageBreakBefore w:val="0"/>
        <w:widowControl w:val="0"/>
        <w:kinsoku/>
        <w:wordWrap/>
        <w:overflowPunct/>
        <w:topLinePunct w:val="0"/>
        <w:autoSpaceDE/>
        <w:autoSpaceDN/>
        <w:bidi w:val="0"/>
        <w:adjustRightInd/>
        <w:snapToGrid/>
        <w:spacing w:before="0" w:after="0" w:line="440" w:lineRule="exact"/>
        <w:jc w:val="both"/>
        <w:textAlignment w:val="auto"/>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一、合同价款及</w:t>
      </w:r>
      <w:r>
        <w:rPr>
          <w:rFonts w:hint="eastAsia" w:ascii="宋体" w:hAnsi="宋体" w:cs="宋体"/>
          <w:b/>
          <w:bCs/>
          <w:color w:val="auto"/>
          <w:kern w:val="0"/>
          <w:sz w:val="24"/>
          <w:szCs w:val="24"/>
          <w:highlight w:val="none"/>
          <w:lang w:val="en-US" w:eastAsia="zh-CN"/>
        </w:rPr>
        <w:t>付款</w:t>
      </w:r>
      <w:r>
        <w:rPr>
          <w:rFonts w:hint="eastAsia" w:ascii="宋体" w:hAnsi="宋体" w:eastAsia="宋体" w:cs="宋体"/>
          <w:b/>
          <w:bCs/>
          <w:color w:val="auto"/>
          <w:kern w:val="0"/>
          <w:sz w:val="24"/>
          <w:szCs w:val="24"/>
          <w:highlight w:val="none"/>
          <w:lang w:val="en-US" w:eastAsia="zh-CN"/>
        </w:rPr>
        <w:t>方式</w:t>
      </w:r>
    </w:p>
    <w:p w14:paraId="3D232D6B">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1、本合同价款（含税）为（小写）¥</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lang w:val="en-US" w:eastAsia="zh-CN"/>
        </w:rPr>
        <w:t>元；（大写）</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lang w:val="en-US" w:eastAsia="zh-CN"/>
        </w:rPr>
        <w:t>元。</w:t>
      </w:r>
    </w:p>
    <w:p w14:paraId="098443FB">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2、在服务期限内，合同单价一次包死，不受国家政策性调价或原材料变化的影响，并作为最终结算的唯一依据。</w:t>
      </w:r>
    </w:p>
    <w:p w14:paraId="24D9A95E">
      <w:pPr>
        <w:keepNext w:val="0"/>
        <w:keepLines w:val="0"/>
        <w:pageBreakBefore w:val="0"/>
        <w:widowControl w:val="0"/>
        <w:numPr>
          <w:ilvl w:val="0"/>
          <w:numId w:val="0"/>
        </w:numPr>
        <w:tabs>
          <w:tab w:val="left" w:pos="840"/>
        </w:tabs>
        <w:kinsoku w:val="0"/>
        <w:wordWrap/>
        <w:overflowPunct/>
        <w:topLinePunct w:val="0"/>
        <w:autoSpaceDE/>
        <w:autoSpaceDN/>
        <w:bidi w:val="0"/>
        <w:adjustRightInd/>
        <w:snapToGrid/>
        <w:spacing w:line="360" w:lineRule="auto"/>
        <w:ind w:firstLine="480" w:firstLineChars="200"/>
        <w:textAlignment w:val="auto"/>
        <w:rPr>
          <w:rFonts w:hint="default" w:ascii="宋体" w:hAnsi="宋体" w:eastAsia="宋体"/>
          <w:color w:val="auto"/>
          <w:sz w:val="24"/>
          <w:szCs w:val="24"/>
          <w:highlight w:val="none"/>
          <w:u w:val="none"/>
          <w:lang w:val="en-US" w:eastAsia="zh-CN"/>
        </w:rPr>
      </w:pPr>
      <w:r>
        <w:rPr>
          <w:rFonts w:hint="eastAsia" w:ascii="宋体" w:hAnsi="宋体" w:eastAsia="宋体" w:cs="宋体"/>
          <w:color w:val="auto"/>
          <w:kern w:val="0"/>
          <w:sz w:val="24"/>
          <w:szCs w:val="24"/>
          <w:highlight w:val="none"/>
          <w:u w:val="single"/>
          <w:lang w:val="en-US" w:eastAsia="zh-CN"/>
        </w:rPr>
        <w:t>3、</w:t>
      </w:r>
      <w:r>
        <w:rPr>
          <w:rFonts w:hint="eastAsia" w:ascii="宋体" w:hAnsi="宋体" w:cs="宋体"/>
          <w:color w:val="auto"/>
          <w:kern w:val="0"/>
          <w:sz w:val="24"/>
          <w:szCs w:val="24"/>
          <w:highlight w:val="none"/>
          <w:u w:val="single"/>
          <w:lang w:val="en-US" w:eastAsia="zh-CN"/>
        </w:rPr>
        <w:t>付款</w:t>
      </w:r>
      <w:r>
        <w:rPr>
          <w:rFonts w:hint="eastAsia" w:ascii="宋体" w:hAnsi="宋体" w:eastAsia="宋体" w:cs="宋体"/>
          <w:color w:val="auto"/>
          <w:kern w:val="0"/>
          <w:sz w:val="24"/>
          <w:szCs w:val="24"/>
          <w:highlight w:val="none"/>
          <w:u w:val="single"/>
          <w:lang w:val="en-US" w:eastAsia="zh-CN"/>
        </w:rPr>
        <w:t>方式：合同签订后，达到付款条件起30日内，支付合同总金额的60.00%。服务完成，成果文件验收合格后，乙方向甲方提供服务发票，达到付款条件起30日内，支付合同总金额的40.00%。</w:t>
      </w:r>
    </w:p>
    <w:p w14:paraId="4ED2FE4D">
      <w:pPr>
        <w:keepNext w:val="0"/>
        <w:keepLines w:val="0"/>
        <w:pageBreakBefore w:val="0"/>
        <w:widowControl w:val="0"/>
        <w:kinsoku/>
        <w:wordWrap/>
        <w:overflowPunct/>
        <w:topLinePunct w:val="0"/>
        <w:autoSpaceDE/>
        <w:autoSpaceDN/>
        <w:bidi w:val="0"/>
        <w:adjustRightInd/>
        <w:snapToGrid/>
        <w:spacing w:before="0" w:after="0" w:line="240" w:lineRule="auto"/>
        <w:jc w:val="both"/>
        <w:textAlignment w:val="auto"/>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二、服务内容</w:t>
      </w:r>
    </w:p>
    <w:p w14:paraId="0CECAA27">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1</w:t>
      </w:r>
      <w:r>
        <w:rPr>
          <w:rFonts w:hint="eastAsia" w:ascii="宋体" w:hAnsi="宋体" w:eastAsia="宋体" w:cs="宋体"/>
          <w:color w:val="auto"/>
          <w:kern w:val="0"/>
          <w:sz w:val="24"/>
          <w:szCs w:val="24"/>
          <w:highlight w:val="none"/>
          <w:lang w:val="en-US" w:eastAsia="zh-CN"/>
        </w:rPr>
        <w:t>、技术服务的目标</w:t>
      </w:r>
    </w:p>
    <w:p w14:paraId="2FA797E4">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依据《全国生态状况调查评估技术规范》</w:t>
      </w:r>
      <w:r>
        <w:rPr>
          <w:rFonts w:hint="eastAsia" w:ascii="宋体" w:hAnsi="宋体" w:eastAsia="宋体" w:cs="宋体"/>
          <w:color w:val="auto"/>
          <w:kern w:val="0"/>
          <w:sz w:val="24"/>
          <w:szCs w:val="24"/>
          <w:highlight w:val="none"/>
        </w:rPr>
        <w:t>《陕西省生态环境厅关于开展陕西省第五次生态状况变化调查评估工作的通知》</w:t>
      </w:r>
      <w:r>
        <w:rPr>
          <w:rFonts w:hint="eastAsia" w:ascii="宋体" w:hAnsi="宋体" w:eastAsia="宋体" w:cs="宋体"/>
          <w:color w:val="auto"/>
          <w:kern w:val="0"/>
          <w:sz w:val="24"/>
          <w:szCs w:val="24"/>
          <w:highlight w:val="none"/>
          <w:lang w:val="en-US" w:eastAsia="zh-CN"/>
        </w:rPr>
        <w:t>等</w:t>
      </w:r>
      <w:r>
        <w:rPr>
          <w:rFonts w:hint="eastAsia" w:ascii="宋体" w:hAnsi="宋体" w:cs="宋体"/>
          <w:color w:val="auto"/>
          <w:kern w:val="0"/>
          <w:sz w:val="24"/>
          <w:szCs w:val="24"/>
          <w:highlight w:val="none"/>
          <w:lang w:val="en-US" w:eastAsia="zh-CN"/>
        </w:rPr>
        <w:t>文件要求</w:t>
      </w:r>
      <w:r>
        <w:rPr>
          <w:rFonts w:hint="eastAsia" w:ascii="宋体" w:hAnsi="宋体" w:eastAsia="宋体" w:cs="宋体"/>
          <w:color w:val="auto"/>
          <w:kern w:val="0"/>
          <w:sz w:val="24"/>
          <w:szCs w:val="24"/>
          <w:highlight w:val="none"/>
          <w:lang w:val="en-US" w:eastAsia="zh-CN"/>
        </w:rPr>
        <w:t>，组织开展西安市生态状况以及西安市秦岭地区生态状况变化调查评估工作，全面掌握西安市及市域范围内秦岭地区生态系统现状及其动态变化，系统评估西安市生态系统类型构成与格局、生态系统质量、生态服务功能的时空特征与变化趋势，剖析主要生态问题和变化原因，研究提出新时期西安市生态保护修复的对策与建议，为社会经济发展宏观决策和生态文明建设提供支撑</w:t>
      </w:r>
      <w:r>
        <w:rPr>
          <w:rFonts w:hint="eastAsia" w:ascii="宋体" w:hAnsi="宋体" w:cs="宋体"/>
          <w:color w:val="auto"/>
          <w:kern w:val="0"/>
          <w:sz w:val="24"/>
          <w:szCs w:val="24"/>
          <w:highlight w:val="none"/>
          <w:lang w:val="en-US" w:eastAsia="zh-CN"/>
        </w:rPr>
        <w:t>。</w:t>
      </w:r>
    </w:p>
    <w:p w14:paraId="55532847">
      <w:pPr>
        <w:spacing w:line="360" w:lineRule="auto"/>
        <w:ind w:firstLine="480" w:firstLineChars="200"/>
        <w:rPr>
          <w:rFonts w:hint="eastAsia" w:ascii="宋体" w:hAnsi="宋体" w:eastAsia="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绩效目标：</w:t>
      </w:r>
      <w:r>
        <w:rPr>
          <w:rFonts w:hint="eastAsia" w:ascii="宋体" w:hAnsi="宋体" w:eastAsia="宋体" w:cs="宋体"/>
          <w:color w:val="auto"/>
          <w:kern w:val="0"/>
          <w:sz w:val="24"/>
          <w:szCs w:val="24"/>
          <w:highlight w:val="none"/>
          <w:lang w:val="en-US" w:eastAsia="zh-CN"/>
        </w:rPr>
        <w:t>全面掌握西安市及市域范围内秦岭地区生态系统现状及其动态变化，研究提出新时期西安市生态保护修复的对策与建议，为社会经济发展宏观决策和生态文明建设提供支撑，推动提升全市生态系统多样性、稳定性、持续性。</w:t>
      </w:r>
    </w:p>
    <w:p w14:paraId="2FB654CC">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2</w:t>
      </w:r>
      <w:r>
        <w:rPr>
          <w:rFonts w:hint="eastAsia" w:ascii="宋体" w:hAnsi="宋体" w:eastAsia="宋体" w:cs="宋体"/>
          <w:color w:val="auto"/>
          <w:kern w:val="0"/>
          <w:sz w:val="24"/>
          <w:szCs w:val="24"/>
          <w:highlight w:val="none"/>
          <w:lang w:val="en-US" w:eastAsia="zh-CN"/>
        </w:rPr>
        <w:t>、主要工作任务</w:t>
      </w:r>
    </w:p>
    <w:p w14:paraId="113491C8">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本次调查评估的地理范围为西安市行政辖区，总面积为10752平方公里以及西安市域范围内的秦岭区域。调查评估的时间范围为2020年至2025年，基准年为2020年，现状年为2025年，变化分析期5年。部分指标和内容可根据需要延长时序，以便更全面反映生态变化趋势。</w:t>
      </w:r>
    </w:p>
    <w:p w14:paraId="2DD336CC">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3</w:t>
      </w:r>
      <w:r>
        <w:rPr>
          <w:rFonts w:hint="eastAsia" w:ascii="宋体" w:hAnsi="宋体" w:eastAsia="宋体" w:cs="宋体"/>
          <w:color w:val="auto"/>
          <w:kern w:val="0"/>
          <w:sz w:val="24"/>
          <w:szCs w:val="24"/>
          <w:highlight w:val="none"/>
          <w:lang w:val="en-US" w:eastAsia="zh-CN"/>
        </w:rPr>
        <w:t>、技术服务内容</w:t>
      </w:r>
    </w:p>
    <w:p w14:paraId="4ED3FC65">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（1）高分辨率遥感影像产品生产</w:t>
      </w:r>
    </w:p>
    <w:p w14:paraId="6D7DFA7C">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收集2000至2025年覆盖西安市全境的西安市高质量卫星影像数据，充分运用现有数据资源，构建覆盖全市全域、空间定位精准、色彩统一的标准化影像底图。通过对两期影像数据的对比运用，形成可直接用于后续分析的基础数据载体，确保两期数据在不同时段、不同区域的对比性与可信度，为各类生态相关分析工作提供直观、精准的基础支撑。</w:t>
      </w:r>
    </w:p>
    <w:p w14:paraId="24AD1060">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（2）生态系统类型遥感野外核查</w:t>
      </w:r>
    </w:p>
    <w:p w14:paraId="1C43A41E">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运用已有的高分辨率影像数据，结合相关基础数据，开展野外验证，现场开展西安市森林、湿地、农田、城镇等主要生态系统类型的空间分布情况，为生态保护、规划和管理提供基础信息支撑。</w:t>
      </w:r>
    </w:p>
    <w:p w14:paraId="75A8950B">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（3）生态系统类型构成与格局分析研究</w:t>
      </w:r>
    </w:p>
    <w:p w14:paraId="7E5C9ACA">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依托现有各类基础数据，运用已有的高分辨率影像数据，结合相关基础数据，通过对这些影像参数数据的整理、分析与对比，形成西安市生态系统类型构成与格局研究报告，支撑西安市评估工作。</w:t>
      </w:r>
    </w:p>
    <w:p w14:paraId="68EE04F8">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（4）生态系统质量分析研究</w:t>
      </w:r>
    </w:p>
    <w:p w14:paraId="1A8D777D">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依托现有各类基础数据，运用中分辨率遥感相关数据，对西安市植被生长状况、生态系统生产能力的核心参数数据进行分析对比，形成西安市生态系统质量研究报告，支撑西安市生态质量动态监测与评估。</w:t>
      </w:r>
    </w:p>
    <w:p w14:paraId="59803D00">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(5)生态系统服务功能综合评估</w:t>
      </w:r>
    </w:p>
    <w:p w14:paraId="32AAAC12">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依托现有各类基础数据，结合西安市地域特点，对生态系统服务功能进行整理、分析与对比，形成西安市生态系统服务功能综合评估研究报告，为生态补偿、红线划定和国土空间优化提供科学依据。</w:t>
      </w:r>
    </w:p>
    <w:p w14:paraId="76EF738D">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（6）西安市生态状况变化调查评估报告以及专题图制作</w:t>
      </w:r>
    </w:p>
    <w:p w14:paraId="04C43312">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按照《陕西省生态环境厅关于开展陕西省第五次生态状况变化调查评估工作的通知》和《陕西省第五次生态状况变化调查评估实施方案》和相关技术要求，完成西安市生态状况变化调查评估报告以及专题图制作。</w:t>
      </w:r>
    </w:p>
    <w:p w14:paraId="3F011A3A">
      <w:pPr>
        <w:keepNext w:val="0"/>
        <w:keepLines w:val="0"/>
        <w:pageBreakBefore w:val="0"/>
        <w:widowControl w:val="0"/>
        <w:kinsoku/>
        <w:wordWrap/>
        <w:overflowPunct/>
        <w:topLinePunct w:val="0"/>
        <w:autoSpaceDE/>
        <w:autoSpaceDN/>
        <w:bidi w:val="0"/>
        <w:adjustRightInd/>
        <w:snapToGrid/>
        <w:spacing w:before="0" w:after="0" w:line="440" w:lineRule="exact"/>
        <w:ind w:firstLine="482" w:firstLineChars="200"/>
        <w:jc w:val="both"/>
        <w:textAlignment w:val="auto"/>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三、技术要求</w:t>
      </w:r>
    </w:p>
    <w:p w14:paraId="4FDD8965">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1、高级影像产品生产技术要求</w:t>
      </w:r>
    </w:p>
    <w:p w14:paraId="0A5C9350">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影像数据源要求：选用2020-2025年生长季（6—9月）遥感影像，最大限度降低物候差异，保障数据可比性；云量控制在10%以内，空间分辨率优于2米；可选用国产高分系列、资源三号卫星影像，或同等精度商业卫星影像。</w:t>
      </w:r>
    </w:p>
    <w:p w14:paraId="40F72E0F">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影像预处理要求：必须完成正射校正、几何精校正、融合、镶嵌、裁剪五大核心步骤；其中几何精校正误差建议控制在1像元以内；预处理流程可结合影像实际质量、西安市区域地形及地表特征，进行合理优化调整，不得遗漏核心预处理环节。</w:t>
      </w:r>
    </w:p>
    <w:p w14:paraId="6CE04E44">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3)成果要求：最终形成2020-2025年覆盖西安市全域的无缝正射影像数据集；成果格式、精度需严格符合生态环境监测相关行业标准，满足后续解译、分析及汇交需求。</w:t>
      </w:r>
    </w:p>
    <w:p w14:paraId="78497675">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2、遥感野外核查技术要求</w:t>
      </w:r>
    </w:p>
    <w:p w14:paraId="7232049B">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1)分类体系依据：严格参照《全国生态状况调查评估技术规范—生态系统遥感解译与野外核查》（HJ 1166-2021）开展野外核查工作，不得偏离规范要求。</w:t>
      </w:r>
    </w:p>
    <w:p w14:paraId="4D139CE1">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2)野外核查要求：分类体系需结合西安市生态特征，可根据实际野外监测的需求，核查类型至少需包括森林、灌丛、草地、湿地、农田、城镇6类一级类；</w:t>
      </w:r>
    </w:p>
    <w:p w14:paraId="6BBFE535">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3、生态系统格局分析技术要求</w:t>
      </w:r>
    </w:p>
    <w:p w14:paraId="60C10B8A">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《全国生态状况调查评估技术规范—生态系统格局评估》（HJ 1171-2021）技术要求，形成西安市生态系统类型构成与格局研究报告；成果格式规范、数据完整，符合生态环境监测、生态状况评估相关行业标准，可直接用于后续分析及报告编制。</w:t>
      </w:r>
    </w:p>
    <w:p w14:paraId="155D7FC7">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4、生态系统质量分析技术要求</w:t>
      </w:r>
    </w:p>
    <w:p w14:paraId="73995503">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按照《《全国生态状况调查评估技术规范—生态系统质量评估》（HJ 1172-2021）技术要求，形成西安市生态系统质量研究报告；成果格式规范、数据完整，符合生态环境监测、生态状况评估相关行业标准，可直接用于后续分析及报告编制。</w:t>
      </w:r>
    </w:p>
    <w:p w14:paraId="71B26120">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5、生态系统服务功能综合评估技术要求</w:t>
      </w:r>
    </w:p>
    <w:p w14:paraId="120770E3">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按照《全国生态状况调查评估技术规范—生态系统服务功能评估》（HJ 1173-2021）技术要求，形成西安市生态系统服务功能研究报告；成果格式规范、数据完整，成果需满足相关行业标准，确保数据可用于后续分析、评估及决策支撑。</w:t>
      </w:r>
    </w:p>
    <w:p w14:paraId="72D495C4">
      <w:pPr>
        <w:keepNext w:val="0"/>
        <w:keepLines w:val="0"/>
        <w:pageBreakBefore w:val="0"/>
        <w:widowControl w:val="0"/>
        <w:kinsoku/>
        <w:wordWrap/>
        <w:overflowPunct/>
        <w:topLinePunct w:val="0"/>
        <w:autoSpaceDE/>
        <w:autoSpaceDN/>
        <w:bidi w:val="0"/>
        <w:adjustRightInd/>
        <w:snapToGrid/>
        <w:spacing w:before="0" w:after="0" w:line="440" w:lineRule="exact"/>
        <w:ind w:firstLine="482" w:firstLineChars="200"/>
        <w:jc w:val="both"/>
        <w:textAlignment w:val="auto"/>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四、成果</w:t>
      </w:r>
    </w:p>
    <w:p w14:paraId="0B7E3B60">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（1）西安市高分辨率遥感影像高级产品</w:t>
      </w:r>
    </w:p>
    <w:p w14:paraId="3AB5602A">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（2）西安市生态状况变化调查评估报告</w:t>
      </w:r>
    </w:p>
    <w:p w14:paraId="78E047E0">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（3）西安市生态系统格局分布图；</w:t>
      </w:r>
    </w:p>
    <w:p w14:paraId="52C4BDA4">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（4）西安市生态系统质量分布图；</w:t>
      </w:r>
    </w:p>
    <w:p w14:paraId="6B74F452">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（5）西安市生态系统服务功能分布图；</w:t>
      </w:r>
    </w:p>
    <w:p w14:paraId="40725363">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（6）西安市生态状况变化调查评估的相关证明材料。</w:t>
      </w:r>
    </w:p>
    <w:p w14:paraId="507B3052">
      <w:pPr>
        <w:keepNext w:val="0"/>
        <w:keepLines w:val="0"/>
        <w:pageBreakBefore w:val="0"/>
        <w:widowControl w:val="0"/>
        <w:kinsoku/>
        <w:wordWrap/>
        <w:overflowPunct/>
        <w:topLinePunct w:val="0"/>
        <w:autoSpaceDE/>
        <w:autoSpaceDN/>
        <w:bidi w:val="0"/>
        <w:adjustRightInd/>
        <w:snapToGrid/>
        <w:spacing w:before="0" w:after="0" w:line="440" w:lineRule="exact"/>
        <w:jc w:val="both"/>
        <w:textAlignment w:val="auto"/>
        <w:rPr>
          <w:rFonts w:hint="eastAsia" w:ascii="宋体" w:hAnsi="宋体" w:cs="宋体"/>
          <w:color w:val="auto"/>
          <w:sz w:val="24"/>
          <w:szCs w:val="24"/>
          <w:highlight w:val="none"/>
          <w:u w:val="single"/>
          <w:lang w:val="en-US" w:eastAsia="zh-CN"/>
        </w:rPr>
      </w:pPr>
      <w:r>
        <w:rPr>
          <w:rFonts w:hint="eastAsia" w:ascii="宋体" w:hAnsi="宋体" w:eastAsia="宋体" w:cs="宋体"/>
          <w:color w:val="auto"/>
          <w:kern w:val="0"/>
          <w:sz w:val="24"/>
          <w:szCs w:val="24"/>
          <w:highlight w:val="none"/>
          <w:lang w:val="en-US" w:eastAsia="zh-CN"/>
        </w:rPr>
        <w:t>三、</w:t>
      </w:r>
      <w:r>
        <w:rPr>
          <w:rFonts w:hint="eastAsia"/>
          <w:color w:val="auto"/>
          <w:sz w:val="24"/>
          <w:szCs w:val="24"/>
          <w:highlight w:val="none"/>
          <w:lang w:val="en-US" w:eastAsia="zh-CN"/>
        </w:rPr>
        <w:t>服务期：</w:t>
      </w:r>
      <w:r>
        <w:rPr>
          <w:rFonts w:hint="eastAsia" w:ascii="宋体" w:hAnsi="宋体" w:eastAsia="宋体" w:cs="宋体"/>
          <w:b w:val="0"/>
          <w:bCs w:val="0"/>
          <w:color w:val="auto"/>
          <w:kern w:val="2"/>
          <w:sz w:val="24"/>
          <w:szCs w:val="24"/>
          <w:highlight w:val="none"/>
          <w:u w:val="single"/>
          <w:lang w:val="en-US" w:eastAsia="zh-CN" w:bidi="ar-SA"/>
        </w:rPr>
        <w:t>自合同签订之日起至202</w:t>
      </w:r>
      <w:r>
        <w:rPr>
          <w:rFonts w:hint="eastAsia" w:ascii="宋体" w:hAnsi="宋体" w:cs="宋体"/>
          <w:b w:val="0"/>
          <w:bCs w:val="0"/>
          <w:color w:val="auto"/>
          <w:kern w:val="2"/>
          <w:sz w:val="24"/>
          <w:szCs w:val="24"/>
          <w:highlight w:val="none"/>
          <w:u w:val="single"/>
          <w:lang w:val="en-US" w:eastAsia="zh-CN" w:bidi="ar-SA"/>
        </w:rPr>
        <w:t>6</w:t>
      </w:r>
      <w:r>
        <w:rPr>
          <w:rFonts w:hint="eastAsia" w:ascii="宋体" w:hAnsi="宋体" w:eastAsia="宋体" w:cs="宋体"/>
          <w:b w:val="0"/>
          <w:bCs w:val="0"/>
          <w:color w:val="auto"/>
          <w:kern w:val="2"/>
          <w:sz w:val="24"/>
          <w:szCs w:val="24"/>
          <w:highlight w:val="none"/>
          <w:u w:val="single"/>
          <w:lang w:val="en-US" w:eastAsia="zh-CN" w:bidi="ar-SA"/>
        </w:rPr>
        <w:t>年 1</w:t>
      </w:r>
      <w:r>
        <w:rPr>
          <w:rFonts w:hint="eastAsia" w:ascii="宋体" w:hAnsi="宋体" w:cs="宋体"/>
          <w:b w:val="0"/>
          <w:bCs w:val="0"/>
          <w:color w:val="auto"/>
          <w:kern w:val="2"/>
          <w:sz w:val="24"/>
          <w:szCs w:val="24"/>
          <w:highlight w:val="none"/>
          <w:u w:val="single"/>
          <w:lang w:val="en-US" w:eastAsia="zh-CN" w:bidi="ar-SA"/>
        </w:rPr>
        <w:t>1</w:t>
      </w:r>
      <w:r>
        <w:rPr>
          <w:rFonts w:hint="eastAsia" w:ascii="宋体" w:hAnsi="宋体" w:eastAsia="宋体" w:cs="宋体"/>
          <w:b w:val="0"/>
          <w:bCs w:val="0"/>
          <w:color w:val="auto"/>
          <w:kern w:val="2"/>
          <w:sz w:val="24"/>
          <w:szCs w:val="24"/>
          <w:highlight w:val="none"/>
          <w:u w:val="single"/>
          <w:lang w:val="en-US" w:eastAsia="zh-CN" w:bidi="ar-SA"/>
        </w:rPr>
        <w:t xml:space="preserve"> 月 30 日止</w:t>
      </w:r>
      <w:r>
        <w:rPr>
          <w:rFonts w:hint="eastAsia" w:ascii="宋体" w:hAnsi="宋体" w:cs="宋体"/>
          <w:color w:val="auto"/>
          <w:kern w:val="0"/>
          <w:sz w:val="24"/>
          <w:szCs w:val="24"/>
          <w:highlight w:val="none"/>
          <w:u w:val="single"/>
          <w:lang w:val="en-US" w:eastAsia="zh-CN"/>
        </w:rPr>
        <w:t xml:space="preserve"> </w:t>
      </w:r>
    </w:p>
    <w:p w14:paraId="3A23C379">
      <w:pPr>
        <w:keepNext w:val="0"/>
        <w:keepLines w:val="0"/>
        <w:pageBreakBefore w:val="0"/>
        <w:widowControl w:val="0"/>
        <w:kinsoku/>
        <w:wordWrap/>
        <w:overflowPunct/>
        <w:topLinePunct w:val="0"/>
        <w:autoSpaceDE/>
        <w:autoSpaceDN/>
        <w:bidi w:val="0"/>
        <w:adjustRightInd/>
        <w:snapToGrid/>
        <w:spacing w:before="0" w:after="0" w:line="440" w:lineRule="exact"/>
        <w:jc w:val="both"/>
        <w:textAlignment w:val="auto"/>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四、服务地点：甲方指定地点。</w:t>
      </w:r>
    </w:p>
    <w:p w14:paraId="5BA616DC">
      <w:pPr>
        <w:keepNext w:val="0"/>
        <w:keepLines w:val="0"/>
        <w:pageBreakBefore w:val="0"/>
        <w:widowControl w:val="0"/>
        <w:kinsoku/>
        <w:wordWrap/>
        <w:overflowPunct/>
        <w:topLinePunct w:val="0"/>
        <w:autoSpaceDE/>
        <w:autoSpaceDN/>
        <w:bidi w:val="0"/>
        <w:adjustRightInd/>
        <w:snapToGrid/>
        <w:spacing w:before="0" w:after="0" w:line="440" w:lineRule="exact"/>
        <w:jc w:val="both"/>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五、 双方的权利和义务</w:t>
      </w:r>
    </w:p>
    <w:p w14:paraId="4C5F14E9">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（一）甲方的权利与义务</w:t>
      </w:r>
    </w:p>
    <w:p w14:paraId="49B525DB">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1、甲方负责配合本次项目服务工作；</w:t>
      </w:r>
    </w:p>
    <w:p w14:paraId="3732C164">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2、甲方应按本合同的约定向乙方支付合同价款；</w:t>
      </w:r>
    </w:p>
    <w:p w14:paraId="5D66D7FC">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3、甲方有权对乙方的工作进行监督和考核。</w:t>
      </w:r>
    </w:p>
    <w:p w14:paraId="3C08D8E7">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（二）乙方的权利与义务</w:t>
      </w:r>
    </w:p>
    <w:p w14:paraId="7C301EBF">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1、乙方的工作人员必须严格遵守甲方的规章制度，以良好的形象和积极的工作态度，按甲方要求开展工作；</w:t>
      </w:r>
    </w:p>
    <w:p w14:paraId="61440D51">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2、乙方保证安排的相关人员需按照指定时间到达指定地点进行服务，乙方在服务时间内不得迟到早退，如有特殊情况，必须事先通知并征得甲方同意；</w:t>
      </w:r>
    </w:p>
    <w:p w14:paraId="2A1E4B84">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3、乙方应严格按照国家规范开展合同规定项目的工作，为甲方提供详实、准确地数据，并把数据以书面形式提供给甲方</w:t>
      </w:r>
      <w:r>
        <w:rPr>
          <w:rFonts w:hint="eastAsia" w:ascii="宋体" w:hAnsi="宋体" w:cs="宋体"/>
          <w:color w:val="auto"/>
          <w:kern w:val="0"/>
          <w:sz w:val="24"/>
          <w:szCs w:val="24"/>
          <w:highlight w:val="none"/>
          <w:lang w:val="en-US" w:eastAsia="zh-CN"/>
        </w:rPr>
        <w:t>；</w:t>
      </w:r>
    </w:p>
    <w:p w14:paraId="74E1B17D">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4、乙方应严格执行法律法规，严格遵守工作程序，正确执行标准技术规范，确保结果的公正、科学、准确</w:t>
      </w:r>
      <w:r>
        <w:rPr>
          <w:rFonts w:hint="eastAsia" w:ascii="宋体" w:hAnsi="宋体" w:cs="宋体"/>
          <w:color w:val="auto"/>
          <w:kern w:val="0"/>
          <w:sz w:val="24"/>
          <w:szCs w:val="24"/>
          <w:highlight w:val="none"/>
          <w:lang w:val="en-US" w:eastAsia="zh-CN"/>
        </w:rPr>
        <w:t>；</w:t>
      </w:r>
    </w:p>
    <w:p w14:paraId="4FB4088D">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5、乙方应对甲方的技术、资料和数据严格保密，维护甲方利益</w:t>
      </w:r>
      <w:r>
        <w:rPr>
          <w:rFonts w:hint="eastAsia" w:ascii="宋体" w:hAnsi="宋体" w:cs="宋体"/>
          <w:color w:val="auto"/>
          <w:kern w:val="0"/>
          <w:sz w:val="24"/>
          <w:szCs w:val="24"/>
          <w:highlight w:val="none"/>
          <w:lang w:val="en-US" w:eastAsia="zh-CN"/>
        </w:rPr>
        <w:t>；</w:t>
      </w:r>
    </w:p>
    <w:p w14:paraId="643691D7">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6、乙方要做好安全工作，项目相关人员的安全责任由乙方负责。</w:t>
      </w:r>
    </w:p>
    <w:p w14:paraId="5366798F">
      <w:pPr>
        <w:spacing w:line="440" w:lineRule="exact"/>
        <w:ind w:firstLine="0" w:firstLineChars="0"/>
        <w:outlineLvl w:val="9"/>
        <w:rPr>
          <w:rFonts w:hint="eastAsia" w:ascii="宋体" w:hAnsi="宋体" w:eastAsia="宋体" w:cs="宋体"/>
          <w:b/>
          <w:bCs/>
          <w:color w:val="auto"/>
          <w:kern w:val="0"/>
          <w:sz w:val="24"/>
          <w:highlight w:val="none"/>
          <w:u w:val="none"/>
        </w:rPr>
      </w:pPr>
      <w:r>
        <w:rPr>
          <w:rFonts w:hint="eastAsia" w:ascii="宋体" w:hAnsi="宋体" w:eastAsia="宋体" w:cs="宋体"/>
          <w:b/>
          <w:bCs/>
          <w:color w:val="auto"/>
          <w:kern w:val="0"/>
          <w:sz w:val="24"/>
          <w:highlight w:val="none"/>
          <w:u w:val="none"/>
          <w:lang w:eastAsia="zh-CN"/>
        </w:rPr>
        <w:t>六</w:t>
      </w:r>
      <w:r>
        <w:rPr>
          <w:rFonts w:hint="eastAsia" w:ascii="宋体" w:hAnsi="宋体" w:eastAsia="宋体" w:cs="宋体"/>
          <w:b/>
          <w:bCs/>
          <w:color w:val="auto"/>
          <w:kern w:val="0"/>
          <w:sz w:val="24"/>
          <w:highlight w:val="none"/>
          <w:u w:val="none"/>
        </w:rPr>
        <w:t>、成果和资料的保密</w:t>
      </w:r>
    </w:p>
    <w:p w14:paraId="0D71F98D">
      <w:pPr>
        <w:adjustRightInd/>
        <w:spacing w:after="0" w:line="440" w:lineRule="exact"/>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1、乙方对其在履行合同过程中所知悉的甲方项目技术秘密和商业秘密承担保密义务；</w:t>
      </w:r>
    </w:p>
    <w:p w14:paraId="5931339A">
      <w:pPr>
        <w:spacing w:line="440" w:lineRule="exact"/>
        <w:ind w:firstLine="480" w:firstLineChars="200"/>
        <w:rPr>
          <w:rFonts w:hint="eastAsia" w:ascii="宋体" w:hAnsi="宋体" w:eastAsia="宋体" w:cs="宋体"/>
          <w:color w:val="auto"/>
          <w:kern w:val="0"/>
          <w:sz w:val="24"/>
          <w:highlight w:val="none"/>
          <w:u w:val="none"/>
        </w:rPr>
      </w:pPr>
      <w:r>
        <w:rPr>
          <w:rFonts w:hint="eastAsia" w:ascii="宋体" w:hAnsi="宋体" w:eastAsia="宋体" w:cs="宋体"/>
          <w:color w:val="auto"/>
          <w:kern w:val="0"/>
          <w:sz w:val="24"/>
          <w:highlight w:val="none"/>
          <w:u w:val="none"/>
        </w:rPr>
        <w:t>2、乙方保证对甲方所提供的保密信息予以妥善保存，仅使用于完成委托项目工作有关的用途或目的：在缺少相关保密条款约定时，应至少采取使用于对自己的保密信息同样的保护措施和审慎程度进行保密。</w:t>
      </w:r>
      <w:r>
        <w:rPr>
          <w:rFonts w:hint="eastAsia" w:ascii="宋体" w:hAnsi="宋体" w:eastAsia="宋体" w:cs="宋体"/>
          <w:color w:val="auto"/>
          <w:kern w:val="0"/>
          <w:sz w:val="24"/>
          <w:highlight w:val="none"/>
          <w:u w:val="none"/>
          <w:shd w:val="clear" w:fill="auto"/>
          <w:lang w:eastAsia="zh-CN"/>
        </w:rPr>
        <w:t>一经</w:t>
      </w:r>
      <w:r>
        <w:rPr>
          <w:rFonts w:hint="eastAsia" w:ascii="宋体" w:hAnsi="宋体" w:eastAsia="宋体" w:cs="宋体"/>
          <w:color w:val="auto"/>
          <w:kern w:val="0"/>
          <w:sz w:val="24"/>
          <w:highlight w:val="none"/>
          <w:u w:val="none"/>
        </w:rPr>
        <w:t>甲方提出要求，乙方应按照甲方的指示在收到甲方的书面通知后3日内将收到的含有保密信息的所有文件或其他资料归还甲方；</w:t>
      </w:r>
    </w:p>
    <w:p w14:paraId="648D55A4">
      <w:pPr>
        <w:adjustRightInd/>
        <w:spacing w:after="0" w:line="440" w:lineRule="exact"/>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3、非经甲方特别授权，甲方向乙方提供的任何保密信息并不代表授予乙方该保密信息包含的任何专利权、商标权、著作权、商业秘密或</w:t>
      </w:r>
      <w:r>
        <w:rPr>
          <w:rFonts w:hint="eastAsia" w:ascii="宋体" w:hAnsi="宋体" w:eastAsia="宋体" w:cs="宋体"/>
          <w:color w:val="auto"/>
          <w:kern w:val="0"/>
          <w:sz w:val="24"/>
          <w:highlight w:val="none"/>
          <w:shd w:val="clear" w:fill="FFFFFF"/>
        </w:rPr>
        <w:t>其它</w:t>
      </w:r>
      <w:r>
        <w:rPr>
          <w:rFonts w:hint="eastAsia" w:ascii="宋体" w:hAnsi="宋体" w:eastAsia="宋体" w:cs="宋体"/>
          <w:color w:val="auto"/>
          <w:kern w:val="0"/>
          <w:sz w:val="24"/>
          <w:highlight w:val="none"/>
        </w:rPr>
        <w:t>类型的知识产权</w:t>
      </w:r>
      <w:r>
        <w:rPr>
          <w:rFonts w:hint="eastAsia" w:ascii="宋体" w:hAnsi="宋体" w:cs="宋体"/>
          <w:color w:val="auto"/>
          <w:kern w:val="0"/>
          <w:sz w:val="24"/>
          <w:highlight w:val="none"/>
          <w:lang w:eastAsia="zh-CN"/>
        </w:rPr>
        <w:t>。</w:t>
      </w:r>
    </w:p>
    <w:p w14:paraId="41920D01">
      <w:pPr>
        <w:keepNext w:val="0"/>
        <w:keepLines w:val="0"/>
        <w:pageBreakBefore w:val="0"/>
        <w:widowControl w:val="0"/>
        <w:kinsoku/>
        <w:wordWrap/>
        <w:overflowPunct/>
        <w:topLinePunct w:val="0"/>
        <w:autoSpaceDE/>
        <w:autoSpaceDN/>
        <w:bidi w:val="0"/>
        <w:adjustRightInd/>
        <w:snapToGrid/>
        <w:spacing w:before="0" w:after="0" w:line="440" w:lineRule="exact"/>
        <w:jc w:val="both"/>
        <w:textAlignment w:val="auto"/>
        <w:rPr>
          <w:rFonts w:hint="eastAsia" w:ascii="宋体" w:hAnsi="宋体" w:eastAsia="宋体" w:cs="宋体"/>
          <w:b/>
          <w:bCs/>
          <w:color w:val="auto"/>
          <w:kern w:val="0"/>
          <w:sz w:val="24"/>
          <w:szCs w:val="24"/>
          <w:highlight w:val="none"/>
          <w:lang w:val="en-US" w:eastAsia="zh-CN"/>
        </w:rPr>
      </w:pPr>
      <w:r>
        <w:rPr>
          <w:rFonts w:hint="eastAsia" w:ascii="宋体" w:hAnsi="宋体" w:cs="宋体"/>
          <w:b/>
          <w:bCs/>
          <w:color w:val="auto"/>
          <w:kern w:val="0"/>
          <w:sz w:val="24"/>
          <w:szCs w:val="24"/>
          <w:highlight w:val="none"/>
          <w:lang w:val="en-US" w:eastAsia="zh-CN"/>
        </w:rPr>
        <w:t>七、</w:t>
      </w:r>
      <w:r>
        <w:rPr>
          <w:rFonts w:hint="eastAsia" w:ascii="宋体" w:hAnsi="宋体" w:eastAsia="宋体" w:cs="宋体"/>
          <w:b/>
          <w:bCs/>
          <w:color w:val="auto"/>
          <w:kern w:val="0"/>
          <w:sz w:val="24"/>
          <w:szCs w:val="24"/>
          <w:highlight w:val="none"/>
          <w:lang w:val="en-US" w:eastAsia="zh-CN"/>
        </w:rPr>
        <w:t>违约责任</w:t>
      </w:r>
    </w:p>
    <w:p w14:paraId="35968A04">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1、按《中华人民共和国民法典》中的相关条款执行。</w:t>
      </w:r>
    </w:p>
    <w:p w14:paraId="3D8C237A">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2、任何一方未履行本合同项下的任何一项条款均被视为违约。违约方应承担因自己的违约行为而给守约方造成的经济损失。</w:t>
      </w:r>
    </w:p>
    <w:p w14:paraId="594B95A4">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3、因甲方的原因造成影响工作进度和质量，所付的报酬不得追回。给乙方造成的损失，应当负赔偿损失的责任。</w:t>
      </w:r>
    </w:p>
    <w:p w14:paraId="59061C47">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4、未按合同要求提供服务或服务质量不能满足本次采购要求，采购人会同监督机构、采购代理机构有权终止合同和对成交供应商违约行为进行追究，同时按政府采购法的有关规定进行相应的处罚。</w:t>
      </w:r>
    </w:p>
    <w:p w14:paraId="1D457315">
      <w:pPr>
        <w:spacing w:line="440" w:lineRule="exact"/>
        <w:ind w:firstLine="480" w:firstLineChars="200"/>
        <w:rPr>
          <w:rFonts w:hint="eastAsia" w:ascii="宋体" w:hAnsi="宋体" w:eastAsia="宋体" w:cs="宋体"/>
          <w:color w:val="auto"/>
          <w:kern w:val="0"/>
          <w:sz w:val="24"/>
          <w:highlight w:val="none"/>
          <w:u w:val="none"/>
        </w:rPr>
      </w:pPr>
      <w:r>
        <w:rPr>
          <w:rFonts w:hint="eastAsia" w:ascii="宋体" w:hAnsi="宋体" w:cs="宋体"/>
          <w:color w:val="auto"/>
          <w:kern w:val="0"/>
          <w:sz w:val="24"/>
          <w:szCs w:val="24"/>
          <w:highlight w:val="none"/>
          <w:u w:val="none"/>
          <w:lang w:val="en-US" w:eastAsia="zh-CN"/>
        </w:rPr>
        <w:t>5</w:t>
      </w:r>
      <w:r>
        <w:rPr>
          <w:rFonts w:hint="eastAsia" w:ascii="宋体" w:hAnsi="宋体" w:eastAsia="宋体" w:cs="宋体"/>
          <w:color w:val="auto"/>
          <w:kern w:val="0"/>
          <w:sz w:val="24"/>
          <w:szCs w:val="24"/>
          <w:highlight w:val="none"/>
          <w:u w:val="none"/>
          <w:lang w:val="en-US" w:eastAsia="zh-CN"/>
        </w:rPr>
        <w:t>、</w:t>
      </w:r>
      <w:r>
        <w:rPr>
          <w:rFonts w:hint="eastAsia" w:ascii="宋体" w:hAnsi="宋体" w:eastAsia="宋体" w:cs="宋体"/>
          <w:color w:val="auto"/>
          <w:kern w:val="0"/>
          <w:sz w:val="24"/>
          <w:highlight w:val="none"/>
          <w:u w:val="none"/>
        </w:rPr>
        <w:t>如因乙方原因造成工期延误的，甲方有权追偿乙方的违约责任，乙方应向甲方支付合同总金额的</w:t>
      </w:r>
      <w:r>
        <w:rPr>
          <w:rFonts w:hint="eastAsia" w:ascii="宋体" w:hAnsi="宋体" w:eastAsia="宋体" w:cs="宋体"/>
          <w:color w:val="auto"/>
          <w:kern w:val="0"/>
          <w:sz w:val="24"/>
          <w:highlight w:val="none"/>
          <w:u w:val="single"/>
        </w:rPr>
        <w:t>5%</w:t>
      </w:r>
      <w:r>
        <w:rPr>
          <w:rFonts w:hint="eastAsia" w:ascii="宋体" w:hAnsi="宋体" w:eastAsia="宋体" w:cs="宋体"/>
          <w:color w:val="auto"/>
          <w:kern w:val="0"/>
          <w:sz w:val="24"/>
          <w:highlight w:val="none"/>
          <w:u w:val="none"/>
        </w:rPr>
        <w:t>作为违约金，非乙方原因造成的工期延误，乙方不承担违约责任。</w:t>
      </w:r>
    </w:p>
    <w:p w14:paraId="5B391E0A">
      <w:pPr>
        <w:keepNext w:val="0"/>
        <w:keepLines w:val="0"/>
        <w:pageBreakBefore w:val="0"/>
        <w:widowControl w:val="0"/>
        <w:kinsoku/>
        <w:wordWrap/>
        <w:overflowPunct/>
        <w:topLinePunct w:val="0"/>
        <w:autoSpaceDE/>
        <w:autoSpaceDN/>
        <w:bidi w:val="0"/>
        <w:adjustRightInd/>
        <w:snapToGrid/>
        <w:spacing w:before="0" w:after="0" w:line="440" w:lineRule="exact"/>
        <w:jc w:val="both"/>
        <w:textAlignment w:val="auto"/>
        <w:rPr>
          <w:rFonts w:hint="eastAsia" w:ascii="宋体" w:hAnsi="宋体" w:eastAsia="宋体" w:cs="宋体"/>
          <w:b/>
          <w:bCs/>
          <w:color w:val="auto"/>
          <w:kern w:val="0"/>
          <w:sz w:val="24"/>
          <w:szCs w:val="24"/>
          <w:highlight w:val="none"/>
          <w:lang w:val="en-US" w:eastAsia="zh-CN"/>
        </w:rPr>
      </w:pPr>
      <w:r>
        <w:rPr>
          <w:rFonts w:hint="eastAsia" w:ascii="宋体" w:hAnsi="宋体" w:cs="宋体"/>
          <w:b/>
          <w:bCs/>
          <w:color w:val="auto"/>
          <w:kern w:val="0"/>
          <w:sz w:val="24"/>
          <w:szCs w:val="24"/>
          <w:highlight w:val="none"/>
          <w:lang w:val="en-US" w:eastAsia="zh-CN"/>
        </w:rPr>
        <w:t>八</w:t>
      </w:r>
      <w:r>
        <w:rPr>
          <w:rFonts w:hint="eastAsia" w:ascii="宋体" w:hAnsi="宋体" w:eastAsia="宋体" w:cs="宋体"/>
          <w:b/>
          <w:bCs/>
          <w:color w:val="auto"/>
          <w:kern w:val="0"/>
          <w:sz w:val="24"/>
          <w:szCs w:val="24"/>
          <w:highlight w:val="none"/>
          <w:lang w:val="en-US" w:eastAsia="zh-CN"/>
        </w:rPr>
        <w:t>、争议解决方式</w:t>
      </w:r>
    </w:p>
    <w:p w14:paraId="3D2AC36A">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合同执行中发生争议的，当事人双方应协商解决，协商达不成一致时，可向采购人所在地人民法院提请诉讼。</w:t>
      </w:r>
      <w:bookmarkStart w:id="0" w:name="_GoBack"/>
      <w:bookmarkEnd w:id="0"/>
    </w:p>
    <w:p w14:paraId="67D4CA0C">
      <w:pPr>
        <w:keepNext w:val="0"/>
        <w:keepLines w:val="0"/>
        <w:pageBreakBefore w:val="0"/>
        <w:widowControl w:val="0"/>
        <w:kinsoku/>
        <w:wordWrap/>
        <w:overflowPunct/>
        <w:topLinePunct w:val="0"/>
        <w:autoSpaceDE/>
        <w:autoSpaceDN/>
        <w:bidi w:val="0"/>
        <w:adjustRightInd/>
        <w:snapToGrid/>
        <w:spacing w:before="0" w:after="0" w:line="440" w:lineRule="exact"/>
        <w:jc w:val="both"/>
        <w:textAlignment w:val="auto"/>
        <w:rPr>
          <w:rFonts w:hint="eastAsia" w:ascii="宋体" w:hAnsi="宋体" w:eastAsia="宋体" w:cs="宋体"/>
          <w:b/>
          <w:bCs/>
          <w:color w:val="auto"/>
          <w:kern w:val="0"/>
          <w:sz w:val="24"/>
          <w:szCs w:val="24"/>
          <w:highlight w:val="none"/>
          <w:lang w:val="en-US" w:eastAsia="zh-CN"/>
        </w:rPr>
      </w:pPr>
      <w:r>
        <w:rPr>
          <w:rFonts w:hint="eastAsia" w:ascii="宋体" w:hAnsi="宋体" w:cs="宋体"/>
          <w:b/>
          <w:bCs/>
          <w:color w:val="auto"/>
          <w:kern w:val="0"/>
          <w:sz w:val="24"/>
          <w:szCs w:val="24"/>
          <w:highlight w:val="none"/>
          <w:lang w:val="en-US" w:eastAsia="zh-CN"/>
        </w:rPr>
        <w:t>九</w:t>
      </w:r>
      <w:r>
        <w:rPr>
          <w:rFonts w:hint="eastAsia" w:ascii="宋体" w:hAnsi="宋体" w:eastAsia="宋体" w:cs="宋体"/>
          <w:b/>
          <w:bCs/>
          <w:color w:val="auto"/>
          <w:kern w:val="0"/>
          <w:sz w:val="24"/>
          <w:szCs w:val="24"/>
          <w:highlight w:val="none"/>
          <w:lang w:val="en-US" w:eastAsia="zh-CN"/>
        </w:rPr>
        <w:t>、合同生效</w:t>
      </w:r>
    </w:p>
    <w:p w14:paraId="449BBF63">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（一）本合同须经甲、乙双方的法定代表人（授权代表）在合同书上签字并加盖本单位公章后正式生效。</w:t>
      </w:r>
    </w:p>
    <w:p w14:paraId="1314E447">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（二）合同生效后，甲、乙双方须严格执行本合同条款的规定，全面履行合同，违者按《中华人民共和国民法典》的有关规定承担相应责任。</w:t>
      </w:r>
    </w:p>
    <w:p w14:paraId="333108DC">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（三）本合同一式</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lang w:val="en-US" w:eastAsia="zh-CN"/>
        </w:rPr>
        <w:t>份，甲乙双方各执</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lang w:val="en-US" w:eastAsia="zh-CN"/>
        </w:rPr>
        <w:t>份。</w:t>
      </w:r>
    </w:p>
    <w:p w14:paraId="083195F7">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（四）本合同如有未尽事宜，甲、乙双方协商解决。</w:t>
      </w:r>
    </w:p>
    <w:p w14:paraId="17C354FC">
      <w:pPr>
        <w:spacing w:before="0" w:after="0" w:line="500" w:lineRule="exact"/>
        <w:ind w:firstLine="480" w:firstLineChars="200"/>
        <w:jc w:val="both"/>
        <w:rPr>
          <w:rFonts w:hint="eastAsia" w:ascii="宋体" w:hAnsi="宋体" w:eastAsia="宋体" w:cs="宋体"/>
          <w:color w:val="auto"/>
          <w:kern w:val="0"/>
          <w:sz w:val="24"/>
          <w:szCs w:val="24"/>
          <w:highlight w:val="none"/>
          <w:lang w:val="en-US" w:eastAsia="zh-CN"/>
        </w:rPr>
      </w:pPr>
    </w:p>
    <w:p w14:paraId="392C8C98">
      <w:pPr>
        <w:spacing w:before="0" w:after="0" w:line="500" w:lineRule="exact"/>
        <w:ind w:firstLine="480" w:firstLineChars="200"/>
        <w:jc w:val="both"/>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 xml:space="preserve">甲方：   （盖章）   </w:t>
      </w:r>
      <w:r>
        <w:rPr>
          <w:rFonts w:hint="eastAsia" w:ascii="宋体" w:hAnsi="宋体" w:eastAsia="宋体" w:cs="宋体"/>
          <w:color w:val="auto"/>
          <w:kern w:val="0"/>
          <w:sz w:val="24"/>
          <w:szCs w:val="24"/>
          <w:highlight w:val="none"/>
          <w:lang w:val="en-US" w:eastAsia="zh-CN"/>
        </w:rPr>
        <w:tab/>
      </w:r>
      <w:r>
        <w:rPr>
          <w:rFonts w:hint="eastAsia" w:ascii="宋体" w:hAnsi="宋体" w:eastAsia="宋体" w:cs="宋体"/>
          <w:color w:val="auto"/>
          <w:kern w:val="0"/>
          <w:sz w:val="24"/>
          <w:szCs w:val="24"/>
          <w:highlight w:val="none"/>
          <w:lang w:val="en-US" w:eastAsia="zh-CN"/>
        </w:rPr>
        <w:tab/>
      </w:r>
      <w:r>
        <w:rPr>
          <w:rFonts w:hint="eastAsia" w:ascii="宋体" w:hAnsi="宋体" w:eastAsia="宋体" w:cs="宋体"/>
          <w:color w:val="auto"/>
          <w:kern w:val="0"/>
          <w:sz w:val="24"/>
          <w:szCs w:val="24"/>
          <w:highlight w:val="none"/>
          <w:lang w:val="en-US" w:eastAsia="zh-CN"/>
        </w:rPr>
        <w:tab/>
      </w:r>
      <w:r>
        <w:rPr>
          <w:rFonts w:hint="eastAsia" w:ascii="宋体" w:hAnsi="宋体" w:eastAsia="宋体" w:cs="宋体"/>
          <w:color w:val="auto"/>
          <w:kern w:val="0"/>
          <w:sz w:val="24"/>
          <w:szCs w:val="24"/>
          <w:highlight w:val="none"/>
          <w:lang w:val="en-US" w:eastAsia="zh-CN"/>
        </w:rPr>
        <w:t xml:space="preserve">        乙方：   （盖章）</w:t>
      </w:r>
    </w:p>
    <w:p w14:paraId="0716897B">
      <w:pPr>
        <w:spacing w:before="0" w:after="0" w:line="500" w:lineRule="exact"/>
        <w:ind w:firstLine="480" w:firstLineChars="200"/>
        <w:jc w:val="both"/>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法定代表人/委托代理人：             法定代表人/委托代理人：</w:t>
      </w:r>
    </w:p>
    <w:p w14:paraId="5C49F902">
      <w:pPr>
        <w:spacing w:before="0" w:after="0" w:line="500" w:lineRule="exact"/>
        <w:ind w:firstLine="480" w:firstLineChars="200"/>
        <w:jc w:val="both"/>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地    址：                          地    址：</w:t>
      </w:r>
    </w:p>
    <w:p w14:paraId="1B094386">
      <w:pPr>
        <w:spacing w:before="0" w:after="0" w:line="500" w:lineRule="exact"/>
        <w:ind w:firstLine="480" w:firstLineChars="200"/>
        <w:jc w:val="both"/>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电    话：                          电    话：</w:t>
      </w:r>
    </w:p>
    <w:p w14:paraId="763F4EBD">
      <w:pPr>
        <w:spacing w:before="0" w:after="0" w:line="500" w:lineRule="exact"/>
        <w:ind w:firstLine="4800" w:firstLineChars="2000"/>
        <w:jc w:val="both"/>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开户银行：</w:t>
      </w:r>
    </w:p>
    <w:p w14:paraId="49BE6841">
      <w:pPr>
        <w:spacing w:before="0" w:after="0" w:line="500" w:lineRule="exact"/>
        <w:ind w:firstLine="480" w:firstLineChars="200"/>
        <w:jc w:val="both"/>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 xml:space="preserve">                                    账    号：</w:t>
      </w:r>
    </w:p>
    <w:p w14:paraId="0D0F09C6">
      <w:pPr>
        <w:ind w:firstLine="480" w:firstLineChars="200"/>
        <w:rPr>
          <w:color w:val="auto"/>
          <w:sz w:val="24"/>
          <w:szCs w:val="24"/>
          <w:highlight w:val="none"/>
        </w:rPr>
      </w:pPr>
      <w:r>
        <w:rPr>
          <w:rFonts w:hint="eastAsia" w:ascii="宋体" w:hAnsi="宋体" w:eastAsia="宋体" w:cs="宋体"/>
          <w:color w:val="auto"/>
          <w:kern w:val="0"/>
          <w:sz w:val="24"/>
          <w:szCs w:val="24"/>
          <w:highlight w:val="none"/>
          <w:lang w:val="en-US" w:eastAsia="zh-CN"/>
        </w:rPr>
        <w:t>日期：    年    月    日            日期：    年    月    日</w:t>
      </w:r>
    </w:p>
    <w:p w14:paraId="7A68B7AB">
      <w:pPr>
        <w:pStyle w:val="11"/>
        <w:rPr>
          <w:rFonts w:hint="eastAsia"/>
          <w:sz w:val="24"/>
          <w:szCs w:val="24"/>
          <w:lang w:val="en-US" w:eastAsia="zh-Hans"/>
        </w:rPr>
      </w:pPr>
    </w:p>
    <w:p w14:paraId="08A6CECC"/>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E411D6"/>
    <w:rsid w:val="0A7F0E46"/>
    <w:rsid w:val="200505B0"/>
    <w:rsid w:val="23B277E0"/>
    <w:rsid w:val="29CD64C8"/>
    <w:rsid w:val="2B1C5BE8"/>
    <w:rsid w:val="36C6081C"/>
    <w:rsid w:val="3E82308D"/>
    <w:rsid w:val="51B44D7F"/>
    <w:rsid w:val="5902508B"/>
    <w:rsid w:val="5A6E7453"/>
    <w:rsid w:val="658900F4"/>
    <w:rsid w:val="66223C2C"/>
    <w:rsid w:val="72E41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before="120" w:after="120" w:line="360" w:lineRule="auto"/>
      <w:ind w:firstLine="0" w:firstLineChars="0"/>
      <w:jc w:val="left"/>
    </w:pPr>
    <w:rPr>
      <w:rFonts w:ascii="Calibri" w:hAnsi="Calibri" w:eastAsia="宋体" w:cs="Times New Roman"/>
      <w:kern w:val="2"/>
      <w:sz w:val="28"/>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customStyle="1" w:styleId="2">
    <w:name w:val="正文1"/>
    <w:basedOn w:val="1"/>
    <w:next w:val="1"/>
    <w:qFormat/>
    <w:uiPriority w:val="0"/>
    <w:pPr>
      <w:spacing w:beforeLines="50" w:line="360" w:lineRule="auto"/>
      <w:ind w:firstLine="420" w:firstLineChars="200"/>
    </w:pPr>
    <w:rPr>
      <w:rFonts w:ascii="宋体" w:hAnsi="宋体" w:cs="宋体"/>
      <w:sz w:val="24"/>
    </w:rPr>
  </w:style>
  <w:style w:type="paragraph" w:styleId="3">
    <w:name w:val="Normal Indent"/>
    <w:basedOn w:val="1"/>
    <w:unhideWhenUsed/>
    <w:qFormat/>
    <w:uiPriority w:val="99"/>
    <w:pPr>
      <w:ind w:firstLine="420" w:firstLineChars="200"/>
    </w:pPr>
  </w:style>
  <w:style w:type="paragraph" w:styleId="4">
    <w:name w:val="Body Text"/>
    <w:basedOn w:val="1"/>
    <w:next w:val="1"/>
    <w:qFormat/>
    <w:uiPriority w:val="0"/>
    <w:pPr>
      <w:widowControl/>
      <w:jc w:val="left"/>
    </w:pPr>
  </w:style>
  <w:style w:type="paragraph" w:styleId="5">
    <w:name w:val="Body Text Indent"/>
    <w:basedOn w:val="1"/>
    <w:qFormat/>
    <w:uiPriority w:val="0"/>
    <w:pPr>
      <w:ind w:firstLine="652" w:firstLineChars="233"/>
    </w:pPr>
    <w:rPr>
      <w:rFonts w:ascii="Times New Roman"/>
      <w:sz w:val="28"/>
    </w:r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Body Text First Indent"/>
    <w:basedOn w:val="4"/>
    <w:next w:val="8"/>
    <w:qFormat/>
    <w:uiPriority w:val="0"/>
    <w:pPr>
      <w:ind w:firstLine="560"/>
    </w:pPr>
    <w:rPr>
      <w:rFonts w:asciiTheme="majorEastAsia" w:hAnsiTheme="majorEastAsia" w:eastAsiaTheme="majorEastAsia"/>
      <w:sz w:val="28"/>
      <w:u w:val="none"/>
    </w:rPr>
  </w:style>
  <w:style w:type="paragraph" w:styleId="8">
    <w:name w:val="Body Text First Indent 2"/>
    <w:basedOn w:val="5"/>
    <w:next w:val="7"/>
    <w:qFormat/>
    <w:uiPriority w:val="0"/>
    <w:pPr>
      <w:adjustRightInd w:val="0"/>
      <w:spacing w:after="80"/>
      <w:ind w:firstLine="559"/>
      <w:textAlignment w:val="baseline"/>
    </w:pPr>
    <w:rPr>
      <w:rFonts w:hAnsi="Times New Roman" w:eastAsia="宋体"/>
      <w:color w:val="FF0000"/>
      <w:sz w:val="24"/>
      <w:u w:val="none"/>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3646</Words>
  <Characters>3747</Characters>
  <Lines>0</Lines>
  <Paragraphs>0</Paragraphs>
  <TotalTime>1</TotalTime>
  <ScaleCrop>false</ScaleCrop>
  <LinksUpToDate>false</LinksUpToDate>
  <CharactersWithSpaces>4025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2025-05-21T09:16:00Z</dcterms:created>
  <dc:creator>艳儿</dc:creator>
  <cp:lastModifiedBy>艳儿</cp:lastModifiedBy>
  <dcterms:modified xsi:type="dcterms:W3CDTF">2026-04-23T01:32:36Z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3208D1914945449E9476C0920E3F1F47_13</vt:lpwstr>
  </property>
  <property fmtid="{D5CDD505-2E9C-101B-9397-08002B2CF9AE}" pid="4" name="KSOTemplateDocerSaveRecord">
    <vt:lpwstr>eyJoZGlkIjoiZjk0M2Q4ZTg0YzdlY2ZjMmFjY2ViYmQ5OTQ1N2FkM2YiLCJ1c2VySWQiOiI3Mjg2ODcwMDQifQ==</vt:lpwstr>
  </property>
</Properties>
</file>