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版本号：ZX2026-04-5420260423001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养老服务人才职业技能竞赛项目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ZX2026-04-54</w:t>
      </w:r>
      <w:r>
        <w:br/>
      </w:r>
      <w:r>
        <w:br/>
      </w:r>
      <w:r>
        <w:br/>
      </w:r>
    </w:p>
    <w:p>
      <w:pPr>
        <w:pStyle w:val="null3"/>
        <w:jc w:val="center"/>
        <w:outlineLvl w:val="2"/>
      </w:pPr>
      <w:r>
        <w:rPr>
          <w:rFonts w:ascii="仿宋_GB2312" w:hAnsi="仿宋_GB2312" w:cs="仿宋_GB2312" w:eastAsia="仿宋_GB2312"/>
          <w:sz w:val="28"/>
          <w:b/>
        </w:rPr>
        <w:t>西安市老龄事业发展中心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西安市老龄事业发展中心</w:t>
      </w:r>
      <w:r>
        <w:rPr>
          <w:rFonts w:ascii="仿宋_GB2312" w:hAnsi="仿宋_GB2312" w:cs="仿宋_GB2312" w:eastAsia="仿宋_GB2312"/>
        </w:rPr>
        <w:t>委托，拟对</w:t>
      </w:r>
      <w:r>
        <w:rPr>
          <w:rFonts w:ascii="仿宋_GB2312" w:hAnsi="仿宋_GB2312" w:cs="仿宋_GB2312" w:eastAsia="仿宋_GB2312"/>
        </w:rPr>
        <w:t>养老服务人才职业技能竞赛项目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ZX2026-04-54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养老服务人才职业技能竞赛项目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养老服务人才职业技能竞赛项目，1项，具体内容详见磋商文件第三章。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采购包1（养老服务人才职业技能竞赛项目）：属于专门面向中小企业采购。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西安市老龄事业发展中心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西安市雁塔区曲江大道70号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029-89137683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胡怡洁 王宇轩 蔡丹 曹婷 马演 崔文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代理服务费收费标准：参照国家计委计价格〔2002〕1980号及发改办价格〔2003〕857号通知规定计取，由成交供应商支付代理服务费。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西安市老龄事业发展中心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西安市老龄事业发展中心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西安市老龄事业发展中心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王宇轩 蔡丹</w:t>
      </w:r>
    </w:p>
    <w:p>
      <w:pPr>
        <w:pStyle w:val="null3"/>
      </w:pPr>
      <w:r>
        <w:rPr>
          <w:rFonts w:ascii="仿宋_GB2312" w:hAnsi="仿宋_GB2312" w:cs="仿宋_GB2312" w:eastAsia="仿宋_GB2312"/>
        </w:rPr>
        <w:t>联系电话：029-88110800转8030（1041800645@qq.com）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养老服务人才职业技能竞赛项目，1项，具体内容详见磋商文件第三章。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413,000.00</w:t>
      </w:r>
    </w:p>
    <w:p>
      <w:pPr>
        <w:pStyle w:val="null3"/>
      </w:pPr>
      <w:r>
        <w:rPr>
          <w:rFonts w:ascii="仿宋_GB2312" w:hAnsi="仿宋_GB2312" w:cs="仿宋_GB2312" w:eastAsia="仿宋_GB2312"/>
        </w:rPr>
        <w:t>采购包最高限价（元）: 413,000.00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养老服务人才职业技能竞赛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413,000.00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标的名称：养老服务人才职业技能竞赛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我市人口老龄化进程持续加快，养老服务体系建设进入提质增效关键阶段，专业化、职业化、复合型养老服务人才已成为推动养老事业高质量发展的核心支撑。为深入贯彻落实积极应对人口老龄化国家战略，大力弘扬工匠精神、厚植行业文化，全面提升养老服务从业人员职业素养、专业技能和服务水平，加快推进养老服务技能人才队伍建设，特举办2026年全市养老服务人才职业技能竞赛。本次竞赛以“以赛促学、以赛促训、以赛促评、以赛促建”为目标，为全市养老服务从业人员搭建技艺切磋、风采展示、学习交流的优质平台，激发从业人员钻研技术、锤炼本领、比拼技能的内生动力，精准选拔一批高素质、高技能、专业化养老服务骨干人才，为我市养老服务事业提质升级、构建普惠均等的养老服务体系提供坚实人才保障。</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（一）竞赛组织实施服务</w:t>
            </w:r>
          </w:p>
          <w:p>
            <w:pPr>
              <w:pStyle w:val="null3"/>
            </w:pPr>
            <w:r>
              <w:rPr>
                <w:rFonts w:ascii="仿宋_GB2312" w:hAnsi="仿宋_GB2312" w:cs="仿宋_GB2312" w:eastAsia="仿宋_GB2312"/>
              </w:rPr>
              <w:t>场地统筹与布置：根据竞赛参赛规模及赛事要求，选定并布置符合养老服务职业技能竞赛标准的理论考场、实操竞赛场地，以及开幕式、闭幕式专用场地；严格按照竞赛规范完成实操场景搭建及布置，确保场地通风采光达标、选手操作间距合理、功能分区清晰。竞赛场地须配备有效空调系统，满足高温天气制冷需求。搭建大赛合影站架，满足约200人合影需求，同步完成合影拍摄及照片冲洗。</w:t>
            </w:r>
          </w:p>
          <w:p>
            <w:pPr>
              <w:pStyle w:val="null3"/>
            </w:pPr>
            <w:r>
              <w:rPr>
                <w:rFonts w:ascii="仿宋_GB2312" w:hAnsi="仿宋_GB2312" w:cs="仿宋_GB2312" w:eastAsia="仿宋_GB2312"/>
              </w:rPr>
              <w:t>设备保障与调试：提前完成拾音设备的安装、调试与检测，确保拾音效果清晰、数据存储稳定可靠；完成音响、灯光、多媒体等设备调试，确保赛事各环节顺畅运行。</w:t>
            </w:r>
          </w:p>
          <w:p>
            <w:pPr>
              <w:pStyle w:val="null3"/>
            </w:pPr>
            <w:r>
              <w:rPr>
                <w:rFonts w:ascii="仿宋_GB2312" w:hAnsi="仿宋_GB2312" w:cs="仿宋_GB2312" w:eastAsia="仿宋_GB2312"/>
              </w:rPr>
              <w:t>竞赛物资筹备：按竞赛标准足额采购竞赛所需实操物料、耗材，规划专用、干燥、安全、规范的物料存放区域；统一制作布置考场指示牌、抽签号、座位号、区域标识等；完成竞赛试卷设计、印制、封装与保管；按规范聘请、组织符合资质要求的裁判人员，保障竞赛公平公正。配备护理员竞赛所需标准化病人（SP），确保满足竞赛实操考核需求。</w:t>
            </w:r>
          </w:p>
          <w:p>
            <w:pPr>
              <w:pStyle w:val="null3"/>
            </w:pPr>
            <w:r>
              <w:rPr>
                <w:rFonts w:ascii="仿宋_GB2312" w:hAnsi="仿宋_GB2312" w:cs="仿宋_GB2312" w:eastAsia="仿宋_GB2312"/>
              </w:rPr>
              <w:t>赛事物资与用品：配齐竞赛所需办公用品、宣传物料，统一制作工作人员、裁判员、参赛选手、观摩人员等各类工作证件；筹备颁奖奖牌、荣誉证书、表彰物资等，确保规格统一、规范齐全。</w:t>
            </w:r>
          </w:p>
          <w:p>
            <w:pPr>
              <w:pStyle w:val="null3"/>
            </w:pPr>
            <w:r>
              <w:rPr>
                <w:rFonts w:ascii="仿宋_GB2312" w:hAnsi="仿宋_GB2312" w:cs="仿宋_GB2312" w:eastAsia="仿宋_GB2312"/>
              </w:rPr>
              <w:t>功能区域设置：设置环境安静、整洁舒适的选手休息区，提供充足饮用水、一次性水杯及温馨提示标识；设置规范专用医疗保障区，配备急救药品、血压计、血糖仪等急救器械，公示急救流程、医护人员联系方式；医疗保障团队全程值守，开展健康监测，及时处置中暑、低血糖、外伤等突发健康状况。设置封闭、独立、专用的分数统计区，配备电脑、打印机、办公桌椅等办公设备及计算器、文具等办公用品，满足成绩录入、核对、汇总需求，实行封闭管理，严禁无关人员进入，确保成绩统计、复核、汇总全流程独立、安全、可追溯。</w:t>
            </w:r>
          </w:p>
          <w:p>
            <w:pPr>
              <w:pStyle w:val="null3"/>
            </w:pPr>
            <w:r>
              <w:rPr>
                <w:rFonts w:ascii="仿宋_GB2312" w:hAnsi="仿宋_GB2312" w:cs="仿宋_GB2312" w:eastAsia="仿宋_GB2312"/>
              </w:rPr>
              <w:t>评委保障服务：设置独立、封闭的评委工作区，配备办公桌椅、电脑、打印机、文件柜等设备及评分资料、文具；保障网络稳定畅通，支持评委实时查阅资料、上传评分数据，设置专用区域标识，确保评审工作独立、规范、高效。</w:t>
            </w:r>
          </w:p>
          <w:p>
            <w:pPr>
              <w:pStyle w:val="null3"/>
            </w:pPr>
            <w:r>
              <w:rPr>
                <w:rFonts w:ascii="仿宋_GB2312" w:hAnsi="仿宋_GB2312" w:cs="仿宋_GB2312" w:eastAsia="仿宋_GB2312"/>
              </w:rPr>
              <w:t>（二）食宿方面</w:t>
            </w:r>
          </w:p>
          <w:p>
            <w:pPr>
              <w:pStyle w:val="null3"/>
            </w:pPr>
            <w:r>
              <w:rPr>
                <w:rFonts w:ascii="仿宋_GB2312" w:hAnsi="仿宋_GB2312" w:cs="仿宋_GB2312" w:eastAsia="仿宋_GB2312"/>
              </w:rPr>
              <w:t>餐饮：选定符合食品安全标准、具备大型活动供餐能力的餐饮供应商，根据参赛人员、评委、工作人员人数提供餐食。</w:t>
            </w:r>
          </w:p>
          <w:p>
            <w:pPr>
              <w:pStyle w:val="null3"/>
            </w:pPr>
            <w:r>
              <w:rPr>
                <w:rFonts w:ascii="仿宋_GB2312" w:hAnsi="仿宋_GB2312" w:cs="仿宋_GB2312" w:eastAsia="仿宋_GB2312"/>
              </w:rPr>
              <w:t>住宿：选择距离竞赛场地近、交通便利、环境安全、设施完善的住宿场所。根据选手、裁判、工作人员数量预订足够房间，确保空调、热水、网络、照明、消防等设施正常运行，满足住宿基本需求。</w:t>
            </w:r>
          </w:p>
          <w:p>
            <w:pPr>
              <w:pStyle w:val="null3"/>
            </w:pPr>
            <w:r>
              <w:rPr>
                <w:rFonts w:ascii="仿宋_GB2312" w:hAnsi="仿宋_GB2312" w:cs="仿宋_GB2312" w:eastAsia="仿宋_GB2312"/>
              </w:rPr>
              <w:t>（三）服装方面</w:t>
            </w:r>
          </w:p>
          <w:p>
            <w:pPr>
              <w:pStyle w:val="null3"/>
            </w:pPr>
            <w:r>
              <w:rPr>
                <w:rFonts w:ascii="仿宋_GB2312" w:hAnsi="仿宋_GB2312" w:cs="仿宋_GB2312" w:eastAsia="仿宋_GB2312"/>
              </w:rPr>
              <w:t>为参赛选手、工作人员、裁判员分别定做统一竞赛服装，三类人员服装区分明显、便于识别，要求质量可靠、面料舒适、符合赛事形象。</w:t>
            </w:r>
          </w:p>
          <w:p>
            <w:pPr>
              <w:pStyle w:val="null3"/>
            </w:pPr>
            <w:r>
              <w:rPr>
                <w:rFonts w:ascii="仿宋_GB2312" w:hAnsi="仿宋_GB2312" w:cs="仿宋_GB2312" w:eastAsia="仿宋_GB2312"/>
              </w:rPr>
              <w:t>（四）其他方面</w:t>
            </w:r>
          </w:p>
          <w:p>
            <w:pPr>
              <w:pStyle w:val="null3"/>
            </w:pPr>
            <w:r>
              <w:rPr>
                <w:rFonts w:ascii="仿宋_GB2312" w:hAnsi="仿宋_GB2312" w:cs="仿宋_GB2312" w:eastAsia="仿宋_GB2312"/>
              </w:rPr>
              <w:t>为参赛选手购买人身意外伤害保险。邀请央媒、省媒、市媒开展竞赛宣传报道。拍摄制作50秒赛前宣传视频及3分钟竞赛全过程视频。根据竞赛结果选拔优秀选手参加省级竞赛集训，提供实训场地、耗材及食宿保障。</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（一）人员配备要求</w:t>
            </w:r>
          </w:p>
          <w:p>
            <w:pPr>
              <w:pStyle w:val="null3"/>
            </w:pPr>
            <w:r>
              <w:rPr>
                <w:rFonts w:ascii="仿宋_GB2312" w:hAnsi="仿宋_GB2312" w:cs="仿宋_GB2312" w:eastAsia="仿宋_GB2312"/>
              </w:rPr>
              <w:t>项目总负责人：配备至少1名具有3年以上大型活动全流程组织管理经验的项目总负责人，全面统筹竞赛策划、方案制定、进度管控、协调调度，确保竞赛高标准、高效率推进。</w:t>
            </w:r>
          </w:p>
          <w:p>
            <w:pPr>
              <w:pStyle w:val="null3"/>
            </w:pPr>
            <w:r>
              <w:rPr>
                <w:rFonts w:ascii="仿宋_GB2312" w:hAnsi="仿宋_GB2312" w:cs="仿宋_GB2312" w:eastAsia="仿宋_GB2312"/>
              </w:rPr>
              <w:t>执行服务团队：组建专业竞赛执行团队，包含现场协调、后勤保障、设备运维、物料管理、人员引导等专职人员，团队成员熟悉技能竞赛流程规范，响应迅速、执行高效，保障现场秩序与各环节顺畅。</w:t>
            </w:r>
          </w:p>
          <w:p>
            <w:pPr>
              <w:pStyle w:val="null3"/>
            </w:pPr>
            <w:r>
              <w:rPr>
                <w:rFonts w:ascii="仿宋_GB2312" w:hAnsi="仿宋_GB2312" w:cs="仿宋_GB2312" w:eastAsia="仿宋_GB2312"/>
              </w:rPr>
              <w:t>医疗保障团队：配备至少1名执业医师和1名执业护士组成专业医疗保障团队，具备急救资质和现场应急处置经验，竞赛期间全程在岗待命，全力保障人员健康安全。</w:t>
            </w:r>
          </w:p>
          <w:p>
            <w:pPr>
              <w:pStyle w:val="null3"/>
            </w:pPr>
            <w:r>
              <w:rPr>
                <w:rFonts w:ascii="仿宋_GB2312" w:hAnsi="仿宋_GB2312" w:cs="仿宋_GB2312" w:eastAsia="仿宋_GB2312"/>
              </w:rPr>
              <w:t>（二）设备配备要求</w:t>
            </w:r>
          </w:p>
          <w:p>
            <w:pPr>
              <w:pStyle w:val="null3"/>
            </w:pPr>
            <w:r>
              <w:rPr>
                <w:rFonts w:ascii="仿宋_GB2312" w:hAnsi="仿宋_GB2312" w:cs="仿宋_GB2312" w:eastAsia="仿宋_GB2312"/>
              </w:rPr>
              <w:t>竞赛专用设备：配备拾音设备，实现考场全覆盖；严格按照养老护理员国家职业技能标准，配齐实操竞赛模拟场景所需设备、器械、耗材，满足多组选手同步竞赛需求，所有设备均符合国家及行业标准，性能稳定、安全可靠。</w:t>
            </w:r>
          </w:p>
          <w:p>
            <w:pPr>
              <w:pStyle w:val="null3"/>
            </w:pPr>
            <w:r>
              <w:rPr>
                <w:rFonts w:ascii="仿宋_GB2312" w:hAnsi="仿宋_GB2312" w:cs="仿宋_GB2312" w:eastAsia="仿宋_GB2312"/>
              </w:rPr>
              <w:t>通用保障设备：提供开幕式、闭幕式所需音响、灯光、投影、LED 屏等设备，确保音质清晰、画面稳定、效果良好；配备打印机、复印机、电脑等办公设备及足量办公用品，满足赛事文件处理、资料印制等工作需求。</w:t>
            </w:r>
          </w:p>
          <w:p>
            <w:pPr>
              <w:pStyle w:val="null3"/>
            </w:pPr>
            <w:r>
              <w:rPr>
                <w:rFonts w:ascii="仿宋_GB2312" w:hAnsi="仿宋_GB2312" w:cs="仿宋_GB2312" w:eastAsia="仿宋_GB2312"/>
              </w:rPr>
              <w:t>（三）安全保障要求</w:t>
            </w:r>
          </w:p>
          <w:p>
            <w:pPr>
              <w:pStyle w:val="null3"/>
            </w:pPr>
            <w:r>
              <w:rPr>
                <w:rFonts w:ascii="仿宋_GB2312" w:hAnsi="仿宋_GB2312" w:cs="仿宋_GB2312" w:eastAsia="仿宋_GB2312"/>
              </w:rPr>
              <w:t>赛事安全：落实全员安全责任，做好场地用电、消防、设备安全检查，制定突发事件应急预案，确保竞赛全程安全有序。</w:t>
            </w:r>
          </w:p>
          <w:p>
            <w:pPr>
              <w:pStyle w:val="null3"/>
            </w:pPr>
            <w:r>
              <w:rPr>
                <w:rFonts w:ascii="仿宋_GB2312" w:hAnsi="仿宋_GB2312" w:cs="仿宋_GB2312" w:eastAsia="仿宋_GB2312"/>
              </w:rPr>
              <w:t>人员安全：强化高温天气防暑保障，空调提前预冷，备足防暑物资；全程医疗值守，快速处置突发健康事件。</w:t>
            </w:r>
          </w:p>
          <w:p>
            <w:pPr>
              <w:pStyle w:val="null3"/>
            </w:pPr>
            <w:r>
              <w:rPr>
                <w:rFonts w:ascii="仿宋_GB2312" w:hAnsi="仿宋_GB2312" w:cs="仿宋_GB2312" w:eastAsia="仿宋_GB2312"/>
              </w:rPr>
              <w:t>信息安全：严格执行试题保密、评委信息、参赛数据等敏感信息管控，严防泄露、外传。</w:t>
            </w:r>
          </w:p>
          <w:p>
            <w:pPr>
              <w:pStyle w:val="null3"/>
            </w:pPr>
            <w:r>
              <w:rPr>
                <w:rFonts w:ascii="仿宋_GB2312" w:hAnsi="仿宋_GB2312" w:cs="仿宋_GB2312" w:eastAsia="仿宋_GB2312"/>
              </w:rPr>
              <w:t>防疫与食品卫生安全：落实食品留样、供餐全程监管，保障参赛及工作人员饮食卫生安全。</w:t>
            </w:r>
          </w:p>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（一）进度要求</w:t>
            </w:r>
          </w:p>
          <w:p>
            <w:pPr>
              <w:pStyle w:val="null3"/>
            </w:pPr>
            <w:r>
              <w:rPr>
                <w:rFonts w:ascii="仿宋_GB2312" w:hAnsi="仿宋_GB2312" w:cs="仿宋_GB2312" w:eastAsia="仿宋_GB2312"/>
              </w:rPr>
              <w:t>1.合同签订后按采购人要求时限提交完整大赛实施方案。</w:t>
            </w:r>
          </w:p>
          <w:p>
            <w:pPr>
              <w:pStyle w:val="null3"/>
            </w:pPr>
            <w:r>
              <w:rPr>
                <w:rFonts w:ascii="仿宋_GB2312" w:hAnsi="仿宋_GB2312" w:cs="仿宋_GB2312" w:eastAsia="仿宋_GB2312"/>
              </w:rPr>
              <w:t>2.严格按照采购人确定的竞赛时间节点，保质保量完成场景搭建、物资筹备、场地布置、赛事执行等全部工作，确保竞赛如期顺利举办。</w:t>
            </w:r>
          </w:p>
          <w:p>
            <w:pPr>
              <w:pStyle w:val="null3"/>
            </w:pPr>
            <w:r>
              <w:rPr>
                <w:rFonts w:ascii="仿宋_GB2312" w:hAnsi="仿宋_GB2312" w:cs="仿宋_GB2312" w:eastAsia="仿宋_GB2312"/>
              </w:rPr>
              <w:t>（二）质量验收标准</w:t>
            </w:r>
          </w:p>
          <w:p>
            <w:pPr>
              <w:pStyle w:val="null3"/>
            </w:pPr>
            <w:r>
              <w:rPr>
                <w:rFonts w:ascii="仿宋_GB2312" w:hAnsi="仿宋_GB2312" w:cs="仿宋_GB2312" w:eastAsia="仿宋_GB2312"/>
              </w:rPr>
              <w:t>严格按照采购文件、响应文件、合同约定及采购人要求，全面、规范、圆满完成本次竞赛各项服务工作，达到赛事组织标准和采购人验收要求。</w:t>
            </w:r>
          </w:p>
          <w:p>
            <w:pPr>
              <w:pStyle w:val="null3"/>
            </w:pPr>
            <w:r>
              <w:rPr>
                <w:rFonts w:ascii="仿宋_GB2312" w:hAnsi="仿宋_GB2312" w:cs="仿宋_GB2312" w:eastAsia="仿宋_GB2312"/>
              </w:rPr>
              <w:t>（三）保密要求</w:t>
            </w:r>
          </w:p>
          <w:p>
            <w:pPr>
              <w:pStyle w:val="null3"/>
            </w:pPr>
            <w:r>
              <w:rPr>
                <w:rFonts w:ascii="仿宋_GB2312" w:hAnsi="仿宋_GB2312" w:cs="仿宋_GB2312" w:eastAsia="仿宋_GB2312"/>
              </w:rPr>
              <w:t>供应商对本次竞赛相关内容承担长期保密责任，未经采购人书面同意，不得以任何形式泄露、传播、使用或向第三方提供，亦不得向任何人以任何方式提供与采购人相关的任何资料。</w:t>
            </w:r>
          </w:p>
          <w:p>
            <w:pPr>
              <w:pStyle w:val="null3"/>
            </w:pPr>
            <w:r>
              <w:rPr>
                <w:rFonts w:ascii="仿宋_GB2312" w:hAnsi="仿宋_GB2312" w:cs="仿宋_GB2312" w:eastAsia="仿宋_GB2312"/>
              </w:rPr>
              <w:t>（四）验收方案</w:t>
            </w:r>
          </w:p>
          <w:p>
            <w:pPr>
              <w:pStyle w:val="null3"/>
            </w:pPr>
            <w:r>
              <w:rPr>
                <w:rFonts w:ascii="仿宋_GB2312" w:hAnsi="仿宋_GB2312" w:cs="仿宋_GB2312" w:eastAsia="仿宋_GB2312"/>
              </w:rPr>
              <w:t>1.由采购人组织对供应商竞赛服务全过程进行整体验收；</w:t>
            </w:r>
          </w:p>
          <w:p>
            <w:pPr>
              <w:pStyle w:val="null3"/>
            </w:pPr>
            <w:r>
              <w:rPr>
                <w:rFonts w:ascii="仿宋_GB2312" w:hAnsi="仿宋_GB2312" w:cs="仿宋_GB2312" w:eastAsia="仿宋_GB2312"/>
              </w:rPr>
              <w:t>2.供应商须向采购人提交竞赛服务全过程完整资料，并按规范编制项目工作报告；</w:t>
            </w:r>
          </w:p>
          <w:p>
            <w:pPr>
              <w:pStyle w:val="null3"/>
            </w:pPr>
            <w:r>
              <w:rPr>
                <w:rFonts w:ascii="仿宋_GB2312" w:hAnsi="仿宋_GB2312" w:cs="仿宋_GB2312" w:eastAsia="仿宋_GB2312"/>
              </w:rPr>
              <w:t>3.验收依据：本项目采购文件、响应文件、合同及附件等。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西安市老龄事业发展中心指定地点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①质量标准，符合国家行业相关标准。②验收：严格按照采购文件、合同约定及采购人要求，全面、规范、圆满完成本次竞赛各项服务工作，达到赛事组织标准和采购人验收要求。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合同签订后，乙方提交大赛实施方案并经甲方审核确认后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乙方圆满完成竞赛任务,经甲方书面验收合格后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磋商小组应当启动异常低价磋商审查程序：①磋商报价低于全部通过符合性审查供应商磋商报价平均值50%的，即磋商报价&lt;全部通过符合性审查供应商磋商报价平均值×50%； ②磋商报价低于通过符合性审查的次低报价供应商磋商报价50%的，即磋商报价&lt;通过符合性审查的次低报价供应商磋商报价×50%； ③磋商报价低于采购项目最高限价45%的，即磋商报价&lt;采购项目最高限价×45%； ④供应商基于专业判断，认为供应商报价过低，有可能影响产品质量或者不能诚信履约的其他情形。 二、磋商小组启动异常低价投标审查后，属于前述①至④情形的，应当要求相关供应商在评审现场合理的时间（30分钟）内对磋商价格作出解释，提供项目具体成本测算等与报价合理性相关的书面说明及必要的证明材料。书面说明应当包括：（1）按照国家财务会计制度的规定要求，逐项就供应商提供的货物、工程和服务的主营业务成本（应根据供应商企业类型予以区别）、税金及附加、原材料成本、人工成本、制造费用、销售费用、管理费用、财务费用等成本构成事项详细陈述。 （2）供应商以前完成类似规模项目与类似价格的业绩证明材料（合同、发票）。其中，属于③情形，供应商已随响应文件一并提交相关书面说明及必要的证明材料的，在评审现场可不再重复提交。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供应商不能证明其磋商报价合理性的或未在规定时间提交上述（1）（2）材料的或者提供的材料不齐全的或者提供的材料不被专家认可的，磋商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磋商文件规定要求签署、盖章的；（2）不满足本磋商文件中“服务期限、服务地点、采购资金的支付约定”的实质性条款要求的；（3）响应文件有效期不足的或无有效期的；（4）报价超过磋商文件中规定的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承诺书.docx 标的清单 报价表 商务部分偏离表.docx 响应函 资格证明文件.docx 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整体方案</w:t>
            </w:r>
          </w:p>
        </w:tc>
        <w:tc>
          <w:tcPr>
            <w:tcW w:type="dxa" w:w="2492"/>
          </w:tcPr>
          <w:p>
            <w:pPr>
              <w:pStyle w:val="null3"/>
            </w:pPr>
            <w:r>
              <w:rPr>
                <w:rFonts w:ascii="仿宋_GB2312" w:hAnsi="仿宋_GB2312" w:cs="仿宋_GB2312" w:eastAsia="仿宋_GB2312"/>
              </w:rPr>
              <w:t>供应商结合项目特点、服务内容及要求制定项目整体方案，包括但不限于：①需求理解；②项目需求分析；③项目整体实施思路及规划;④验收方案等。 完全满足采购需求，无瑕疵，计9分； 方案内容每存在1处瑕疵扣1分； 未提供或内容存在9处及以上瑕疵：0分。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1整体方案.docx</w:t>
            </w:r>
          </w:p>
          <w:p>
            <w:pPr>
              <w:pStyle w:val="null3"/>
            </w:pPr>
            <w:r>
              <w:rPr>
                <w:rFonts w:ascii="仿宋_GB2312" w:hAnsi="仿宋_GB2312" w:cs="仿宋_GB2312" w:eastAsia="仿宋_GB2312"/>
              </w:rPr>
              <w:t>服务响应偏离表.docx</w:t>
            </w:r>
          </w:p>
        </w:tc>
      </w:tr>
      <w:tr>
        <w:tc>
          <w:tcPr>
            <w:tcW w:type="dxa" w:w="831"/>
            <w:vMerge/>
          </w:tcPr>
          <w:p/>
        </w:tc>
        <w:tc>
          <w:tcPr>
            <w:tcW w:type="dxa" w:w="1661"/>
          </w:tcPr>
          <w:p>
            <w:pPr>
              <w:pStyle w:val="null3"/>
            </w:pPr>
            <w:r>
              <w:rPr>
                <w:rFonts w:ascii="仿宋_GB2312" w:hAnsi="仿宋_GB2312" w:cs="仿宋_GB2312" w:eastAsia="仿宋_GB2312"/>
              </w:rPr>
              <w:t>竞赛组织实施服务方案</w:t>
            </w:r>
          </w:p>
        </w:tc>
        <w:tc>
          <w:tcPr>
            <w:tcW w:type="dxa" w:w="2492"/>
          </w:tcPr>
          <w:p>
            <w:pPr>
              <w:pStyle w:val="null3"/>
            </w:pPr>
            <w:r>
              <w:rPr>
                <w:rFonts w:ascii="仿宋_GB2312" w:hAnsi="仿宋_GB2312" w:cs="仿宋_GB2312" w:eastAsia="仿宋_GB2312"/>
              </w:rPr>
              <w:t>供应商针对本项目需求提供竞赛组织实施服务方案，包括不限于：①场地统筹与布置方案；②设备保障与调试方案；③竞赛物资筹备方案；④赛事物资与用品方案；⑤功能区域设置方案；⑥评委保障服务方案等内容。 完全满足采购需求，无瑕疵，计10分； 方案内容每存在1处瑕疵扣1分；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2竞赛组织实施服务方案.docx</w:t>
            </w:r>
          </w:p>
        </w:tc>
      </w:tr>
      <w:tr>
        <w:tc>
          <w:tcPr>
            <w:tcW w:type="dxa" w:w="831"/>
            <w:vMerge/>
          </w:tcPr>
          <w:p/>
        </w:tc>
        <w:tc>
          <w:tcPr>
            <w:tcW w:type="dxa" w:w="1661"/>
          </w:tcPr>
          <w:p>
            <w:pPr>
              <w:pStyle w:val="null3"/>
            </w:pPr>
            <w:r>
              <w:rPr>
                <w:rFonts w:ascii="仿宋_GB2312" w:hAnsi="仿宋_GB2312" w:cs="仿宋_GB2312" w:eastAsia="仿宋_GB2312"/>
              </w:rPr>
              <w:t>食宿组织方案</w:t>
            </w:r>
          </w:p>
        </w:tc>
        <w:tc>
          <w:tcPr>
            <w:tcW w:type="dxa" w:w="2492"/>
          </w:tcPr>
          <w:p>
            <w:pPr>
              <w:pStyle w:val="null3"/>
            </w:pPr>
            <w:r>
              <w:rPr>
                <w:rFonts w:ascii="仿宋_GB2312" w:hAnsi="仿宋_GB2312" w:cs="仿宋_GB2312" w:eastAsia="仿宋_GB2312"/>
              </w:rPr>
              <w:t>供应商针对本项目需求提供食宿组织方案，包括不限于：①根据参赛人员、评委、工作人员人数提供餐食方案；②根据选手、裁判、工作人员数量提供住宿方案（确保空调、热水、网络、照明、消防等设施正常运行等）。 完全满足采购需求，无瑕疵，计6分； 方案内容每存在1处瑕疵扣1分；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3食宿组织方案.docx</w:t>
            </w:r>
          </w:p>
        </w:tc>
      </w:tr>
      <w:tr>
        <w:tc>
          <w:tcPr>
            <w:tcW w:type="dxa" w:w="831"/>
            <w:vMerge/>
          </w:tcPr>
          <w:p/>
        </w:tc>
        <w:tc>
          <w:tcPr>
            <w:tcW w:type="dxa" w:w="1661"/>
          </w:tcPr>
          <w:p>
            <w:pPr>
              <w:pStyle w:val="null3"/>
            </w:pPr>
            <w:r>
              <w:rPr>
                <w:rFonts w:ascii="仿宋_GB2312" w:hAnsi="仿宋_GB2312" w:cs="仿宋_GB2312" w:eastAsia="仿宋_GB2312"/>
              </w:rPr>
              <w:t>服装定制方案</w:t>
            </w:r>
          </w:p>
        </w:tc>
        <w:tc>
          <w:tcPr>
            <w:tcW w:type="dxa" w:w="2492"/>
          </w:tcPr>
          <w:p>
            <w:pPr>
              <w:pStyle w:val="null3"/>
            </w:pPr>
            <w:r>
              <w:rPr>
                <w:rFonts w:ascii="仿宋_GB2312" w:hAnsi="仿宋_GB2312" w:cs="仿宋_GB2312" w:eastAsia="仿宋_GB2312"/>
              </w:rPr>
              <w:t>供应商针对本项目需求提供服装定制方案，为参赛选手、工作人员、裁判员分别定做统一竞赛服装，三类人员服装区分明显、便于识别，要求质量可靠、面料舒适、符合赛事形象。 完全满足采购需求，无瑕疵，计6分； 方案内容每存在1处瑕疵扣1分；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4服装定制方案.docx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供应商针对本项目需求及特点，提供宣传方案，包括但不限于：①邀请央媒、省媒、市媒开展竞赛宣传报道；②拍摄制作50秒赛前宣传视频及3分钟竞赛全过程视频等。 完全满足采购需求，无瑕疵，计6分； 方案内容每存在1处瑕疵扣1分；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5宣传方案.docx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供应商针对本项目配备专业项目总负责人及服务团队、医疗保障团队人员，根据供应商配备人员数量及专业配置、组织架构、岗位职责分配、团队人员从业经验情况进行综合评审。 完全满足采购需求，无瑕疵，计10分； 方案内容每存在1处瑕疵扣1分； 未提供或内容存在10处及以上瑕疵：0分。 注：提供项目组成员相关资料复印件；包含学历学位证书或资格证书等（不提供或提供不全，本项不得分）；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6团队人员.docx</w:t>
            </w:r>
          </w:p>
        </w:tc>
      </w:tr>
      <w:tr>
        <w:tc>
          <w:tcPr>
            <w:tcW w:type="dxa" w:w="831"/>
            <w:vMerge/>
          </w:tcPr>
          <w:p/>
        </w:tc>
        <w:tc>
          <w:tcPr>
            <w:tcW w:type="dxa" w:w="1661"/>
          </w:tcPr>
          <w:p>
            <w:pPr>
              <w:pStyle w:val="null3"/>
            </w:pPr>
            <w:r>
              <w:rPr>
                <w:rFonts w:ascii="仿宋_GB2312" w:hAnsi="仿宋_GB2312" w:cs="仿宋_GB2312" w:eastAsia="仿宋_GB2312"/>
              </w:rPr>
              <w:t>设备配备方案</w:t>
            </w:r>
          </w:p>
        </w:tc>
        <w:tc>
          <w:tcPr>
            <w:tcW w:type="dxa" w:w="2492"/>
          </w:tcPr>
          <w:p>
            <w:pPr>
              <w:pStyle w:val="null3"/>
            </w:pPr>
            <w:r>
              <w:rPr>
                <w:rFonts w:ascii="仿宋_GB2312" w:hAnsi="仿宋_GB2312" w:cs="仿宋_GB2312" w:eastAsia="仿宋_GB2312"/>
              </w:rPr>
              <w:t>供应商针对本项目需求及特点，提供设备配备方案，包括但不限于：①赛事物资与用品（配齐竞赛所需办公用品、宣传物料等）；②竞赛专用设备（拾音设备、配齐实操竞赛模拟场景设备、器械、耗材等）；③通用保障设备（提供开幕式、闭幕式所需音响、灯光、投影、LED 屏等设备）；④备品备件计划保证措施等。 完全满足采购需求，无瑕疵，计9分； 方案内容每存在1处瑕疵扣1分； 未提供或内容存在9处及以上瑕疵：0分。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7设备配备方案.docx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供应商针对本项目各阶段完成要求提供进度保障方案，包括但不限于：①工作计划及组织方案；②工作流程；③进度保障方案； 完全满足采购需求，无瑕疵，计9分； 方案内容每存在1处瑕疵扣1分； 未提供或内容存在9处及以上瑕疵：0分。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8进度保障方案.docx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供应商针对本项目实施过程中可能出现的突发情况提供预案，包括但不限于：①应急预案；②安全保障措施；③医疗保障团队现场应急处置等。 完全满足采购需求，无瑕疵，计7分； 方案内容每存在1处瑕疵扣1分； 未提供或内容存在7处及以上瑕疵：0分。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9应急预案.docx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针对本次项目实施过程中的重点、难点分析。重难点分析清晰，重点把控准确，难点解决思路明确，解决措施有助于项目实施。 完全满足采购需求，无瑕疵，计6分； 方案内容每存在1处瑕疵扣1分；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10重难点分析.docx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1.为参赛选手购买人身意外伤害保险。 2.根据竞赛结果选拔优秀选手参加省级竞赛集训，提供实训场地、耗材及食宿保障。 3.合同签订后按采购人要求时限提交完整大赛实施方案。严格按照采购人确定的竞赛时间节点，保质保量完成场景搭建、物资筹备、场地布置、赛事执行等全部工作，确保竞赛如期顺利举办。 4.保密要求：供应商对本次竞赛相关内容承担长期保密责任，未经采购人书面同意，不得以任何形式泄露、传播、使用或向第三方提供，亦不得向任何人以任何方式提供与采购人相关的任何资料。 供应商对以上内容进行承诺,提供承诺书并加盖供应商公章（格式自拟）。 供应商提供承诺中，每包含上述1项内容计1分，满分4分。 承诺经磋商小组一致认定后予以计分。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1分，最高得5分。 备注：响应文件中提供合同扫描件加盖供应商公章。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供应商结合采购需求针对本项目提供合理化建议。每提供一项经磋商小组一致认定有利于项目实施的建议计1分，满分3分。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13合理化建议.docx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详见附件：1整体方案.docx</w:t>
      </w:r>
    </w:p>
    <w:p>
      <w:pPr>
        <w:pStyle w:val="null3"/>
        <w:ind w:firstLine="960"/>
      </w:pPr>
      <w:r>
        <w:rPr>
          <w:rFonts w:ascii="仿宋_GB2312" w:hAnsi="仿宋_GB2312" w:cs="仿宋_GB2312" w:eastAsia="仿宋_GB2312"/>
        </w:rPr>
        <w:t>详见附件：2竞赛组织实施服务方案.docx</w:t>
      </w:r>
    </w:p>
    <w:p>
      <w:pPr>
        <w:pStyle w:val="null3"/>
        <w:ind w:firstLine="960"/>
      </w:pPr>
      <w:r>
        <w:rPr>
          <w:rFonts w:ascii="仿宋_GB2312" w:hAnsi="仿宋_GB2312" w:cs="仿宋_GB2312" w:eastAsia="仿宋_GB2312"/>
        </w:rPr>
        <w:t>详见附件：3食宿组织方案.docx</w:t>
      </w:r>
    </w:p>
    <w:p>
      <w:pPr>
        <w:pStyle w:val="null3"/>
        <w:ind w:firstLine="960"/>
      </w:pPr>
      <w:r>
        <w:rPr>
          <w:rFonts w:ascii="仿宋_GB2312" w:hAnsi="仿宋_GB2312" w:cs="仿宋_GB2312" w:eastAsia="仿宋_GB2312"/>
        </w:rPr>
        <w:t>详见附件：4服装定制方案.docx</w:t>
      </w:r>
    </w:p>
    <w:p>
      <w:pPr>
        <w:pStyle w:val="null3"/>
        <w:ind w:firstLine="960"/>
      </w:pPr>
      <w:r>
        <w:rPr>
          <w:rFonts w:ascii="仿宋_GB2312" w:hAnsi="仿宋_GB2312" w:cs="仿宋_GB2312" w:eastAsia="仿宋_GB2312"/>
        </w:rPr>
        <w:t>详见附件：5宣传方案.docx</w:t>
      </w:r>
    </w:p>
    <w:p>
      <w:pPr>
        <w:pStyle w:val="null3"/>
        <w:ind w:firstLine="960"/>
      </w:pPr>
      <w:r>
        <w:rPr>
          <w:rFonts w:ascii="仿宋_GB2312" w:hAnsi="仿宋_GB2312" w:cs="仿宋_GB2312" w:eastAsia="仿宋_GB2312"/>
        </w:rPr>
        <w:t>详见附件：6团队人员.docx</w:t>
      </w:r>
    </w:p>
    <w:p>
      <w:pPr>
        <w:pStyle w:val="null3"/>
        <w:ind w:firstLine="960"/>
      </w:pPr>
      <w:r>
        <w:rPr>
          <w:rFonts w:ascii="仿宋_GB2312" w:hAnsi="仿宋_GB2312" w:cs="仿宋_GB2312" w:eastAsia="仿宋_GB2312"/>
        </w:rPr>
        <w:t>详见附件：7设备配备方案.docx</w:t>
      </w:r>
    </w:p>
    <w:p>
      <w:pPr>
        <w:pStyle w:val="null3"/>
        <w:ind w:firstLine="960"/>
      </w:pPr>
      <w:r>
        <w:rPr>
          <w:rFonts w:ascii="仿宋_GB2312" w:hAnsi="仿宋_GB2312" w:cs="仿宋_GB2312" w:eastAsia="仿宋_GB2312"/>
        </w:rPr>
        <w:t>详见附件：8进度保障方案.docx</w:t>
      </w:r>
    </w:p>
    <w:p>
      <w:pPr>
        <w:pStyle w:val="null3"/>
        <w:ind w:firstLine="960"/>
      </w:pPr>
      <w:r>
        <w:rPr>
          <w:rFonts w:ascii="仿宋_GB2312" w:hAnsi="仿宋_GB2312" w:cs="仿宋_GB2312" w:eastAsia="仿宋_GB2312"/>
        </w:rPr>
        <w:t>详见附件：9应急预案.docx</w:t>
      </w:r>
    </w:p>
    <w:p>
      <w:pPr>
        <w:pStyle w:val="null3"/>
        <w:ind w:firstLine="960"/>
      </w:pPr>
      <w:r>
        <w:rPr>
          <w:rFonts w:ascii="仿宋_GB2312" w:hAnsi="仿宋_GB2312" w:cs="仿宋_GB2312" w:eastAsia="仿宋_GB2312"/>
        </w:rPr>
        <w:t>详见附件：10重难点分析.docx</w:t>
      </w:r>
    </w:p>
    <w:p>
      <w:pPr>
        <w:pStyle w:val="null3"/>
        <w:ind w:firstLine="960"/>
      </w:pPr>
      <w:r>
        <w:rPr>
          <w:rFonts w:ascii="仿宋_GB2312" w:hAnsi="仿宋_GB2312" w:cs="仿宋_GB2312" w:eastAsia="仿宋_GB2312"/>
        </w:rPr>
        <w:t>详见附件：11服务承诺.docx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详见附件：13合理化建议.docx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