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版本号：ZCBN-西安市-2026-0087020260423001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西安美术高质量发展暨长安画派宣传推介项目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ZCBN-西安市-2026-00870</w:t>
      </w:r>
      <w:r>
        <w:br/>
      </w:r>
      <w:r>
        <w:br/>
      </w:r>
      <w:r>
        <w:br/>
      </w:r>
    </w:p>
    <w:p>
      <w:pPr>
        <w:pStyle w:val="null3"/>
        <w:jc w:val="center"/>
        <w:outlineLvl w:val="2"/>
      </w:pPr>
      <w:r>
        <w:rPr>
          <w:rFonts w:ascii="仿宋_GB2312" w:hAnsi="仿宋_GB2312" w:cs="仿宋_GB2312" w:eastAsia="仿宋_GB2312"/>
          <w:sz w:val="28"/>
          <w:b/>
        </w:rPr>
        <w:t>西安中国画院</w:t>
      </w:r>
    </w:p>
    <w:p>
      <w:pPr>
        <w:pStyle w:val="null3"/>
        <w:jc w:val="center"/>
        <w:outlineLvl w:val="2"/>
      </w:pPr>
      <w:r>
        <w:rPr>
          <w:rFonts w:ascii="仿宋_GB2312" w:hAnsi="仿宋_GB2312" w:cs="仿宋_GB2312" w:eastAsia="仿宋_GB2312"/>
          <w:sz w:val="28"/>
          <w:b/>
        </w:rPr>
        <w:t>陕西信禾工程项目管理有限公司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陕西信禾工程项目管理有限公司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西安中国画院</w:t>
      </w:r>
      <w:r>
        <w:rPr>
          <w:rFonts w:ascii="仿宋_GB2312" w:hAnsi="仿宋_GB2312" w:cs="仿宋_GB2312" w:eastAsia="仿宋_GB2312"/>
        </w:rPr>
        <w:t>委托，拟对</w:t>
      </w:r>
      <w:r>
        <w:rPr>
          <w:rFonts w:ascii="仿宋_GB2312" w:hAnsi="仿宋_GB2312" w:cs="仿宋_GB2312" w:eastAsia="仿宋_GB2312"/>
        </w:rPr>
        <w:t>西安美术高质量发展暨长安画派宣传推介项目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ZCBN-西安市-2026-00870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西安美术高质量发展暨长安画派宣传推介项目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举办一场全面而深入的宣传推介活动，展示西安美术的独特魅力，并通过美术这一直观形象的载体，宣传推介西安悠久的丝路文脉、红色文化、绿树青山和时代新貌，促进文旅事业高质量发展。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采购包1（宣传推介项目）：属于专门面向小微企业采购。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1、供应商资格：具有独立承担民事责任能力的法人、其他组织或自然人，并出具合法有效的营业执照等国家规定的相关证明，自然人参与的提供其身份证明（提供复印件加盖公章）</w:t>
      </w:r>
    </w:p>
    <w:p>
      <w:pPr>
        <w:pStyle w:val="null3"/>
      </w:pPr>
      <w:r>
        <w:rPr>
          <w:rFonts w:ascii="仿宋_GB2312" w:hAnsi="仿宋_GB2312" w:cs="仿宋_GB2312" w:eastAsia="仿宋_GB2312"/>
        </w:rPr>
        <w:t>2、投标代表资格：供应商应授权合法的人员参加采购活动全过程，其中法定代表人直接参加磋商的，须出具法定代表人身份证扫描件，并与营业执照上信息一致；法定代表人授权代表参加磋商的，须出具法定代表人授权书及授权代表身份证扫描件；</w:t>
      </w:r>
    </w:p>
    <w:p>
      <w:pPr>
        <w:pStyle w:val="null3"/>
      </w:pPr>
      <w:r>
        <w:rPr>
          <w:rFonts w:ascii="仿宋_GB2312" w:hAnsi="仿宋_GB2312" w:cs="仿宋_GB2312" w:eastAsia="仿宋_GB2312"/>
        </w:rPr>
        <w:t>3、企业资质：供应商需提供行业行政主管部门颁发的《印刷经营许可证》（含出版物印刷类）</w:t>
      </w:r>
    </w:p>
    <w:p>
      <w:pPr>
        <w:pStyle w:val="null3"/>
      </w:pPr>
      <w:r>
        <w:rPr>
          <w:rFonts w:ascii="仿宋_GB2312" w:hAnsi="仿宋_GB2312" w:cs="仿宋_GB2312" w:eastAsia="仿宋_GB2312"/>
        </w:rPr>
        <w:t>4、财务状况：提供2024年度或2025年度的财务报表（至少包括资产负债表和利润表，成立时间至提交磋商响应文件递交截止时间不足一年的可提供成立后任意时段的资产负债表），或其基本存款账户开户银行出具的资信证明（附开户许可证或开户备案证明）；</w:t>
      </w:r>
    </w:p>
    <w:p>
      <w:pPr>
        <w:pStyle w:val="null3"/>
      </w:pPr>
      <w:r>
        <w:rPr>
          <w:rFonts w:ascii="仿宋_GB2312" w:hAnsi="仿宋_GB2312" w:cs="仿宋_GB2312" w:eastAsia="仿宋_GB2312"/>
        </w:rPr>
        <w:t>5、税收证明：提供磋商前一年内已缴纳的至少一个月的纳税证明或完税证明（任意税种），依法免税的单位应提供相关证明材料；</w:t>
      </w:r>
    </w:p>
    <w:p>
      <w:pPr>
        <w:pStyle w:val="null3"/>
      </w:pPr>
      <w:r>
        <w:rPr>
          <w:rFonts w:ascii="仿宋_GB2312" w:hAnsi="仿宋_GB2312" w:cs="仿宋_GB2312" w:eastAsia="仿宋_GB2312"/>
        </w:rPr>
        <w:t>6、社保证明：提供磋商前一年内已缴存的至少一个月的社会保障资金缴存单据或社保机构开具的社会保险参保缴费情况证明，依法不需要缴纳社会保障资金的单位应提供相关证明材料；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7、没有重大违法记录书面声明：参加政府采购活动近三年内，在经营活动中没有重大违法记录书面声明（加盖公章）；</w:t>
      </w:r>
    </w:p>
    <w:p>
      <w:pPr>
        <w:pStyle w:val="null3"/>
      </w:pPr>
      <w:r>
        <w:rPr>
          <w:rFonts w:ascii="仿宋_GB2312" w:hAnsi="仿宋_GB2312" w:cs="仿宋_GB2312" w:eastAsia="仿宋_GB2312"/>
        </w:rPr>
        <w:t>8、信用截图：供应商不得为“信用中国”网站（www.creditchina.gov.cn）中列入严重失信主体名单，供应商不得为“中国执行信息公开网”（http://zxgk.court.gov.cn/shixin/） 中列入严重失信被执行人，供应商不得为政府采购严重违法失信行为记录名单的供应商；</w:t>
      </w:r>
    </w:p>
    <w:p>
      <w:pPr>
        <w:pStyle w:val="null3"/>
      </w:pPr>
      <w:r>
        <w:rPr>
          <w:rFonts w:ascii="仿宋_GB2312" w:hAnsi="仿宋_GB2312" w:cs="仿宋_GB2312" w:eastAsia="仿宋_GB2312"/>
        </w:rPr>
        <w:t>9、控股关系：单位负责人为同一人或者存在直接控股、管理关系的供应商，不得参加同一合同下的政府采购活动；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西安中国画院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含光路南段14号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029-88219613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陕西信禾工程项目管理有限公司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陕西省西安市未央区经济技术开发区未央路169号银池品智天下A座18层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李君潇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18502932827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代理服务费以实际中标价为计算基数，参照国家计委[2002]1980号文件《招标代理服务收费管理暂行办法》、发改委[2011]534号文件《关于降低部分建设项目收费标准规范收费行为等有关问题的通知》规定的收费标准下浮30%收取。 2.成交代理服务费由成交人支付，成交单位在领取成交通知书前，须向采购代理机构一次性支付代理服务费。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西安中国画院</w:t>
      </w:r>
      <w:r>
        <w:rPr>
          <w:rFonts w:ascii="仿宋_GB2312" w:hAnsi="仿宋_GB2312" w:cs="仿宋_GB2312" w:eastAsia="仿宋_GB2312"/>
        </w:rPr>
        <w:t>和</w:t>
      </w:r>
      <w:r>
        <w:rPr>
          <w:rFonts w:ascii="仿宋_GB2312" w:hAnsi="仿宋_GB2312" w:cs="仿宋_GB2312" w:eastAsia="仿宋_GB2312"/>
        </w:rPr>
        <w:t>陕西信禾工程项目管理有限公司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西安中国画院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陕西信禾工程项目管理有限公司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西安中国画院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陕西信禾工程项目管理有限公司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陕西信禾工程项目管理有限公司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陕西信禾工程项目管理有限公司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陕西信禾工程项目管理有限公司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联系人：李君潇</w:t>
      </w:r>
    </w:p>
    <w:p>
      <w:pPr>
        <w:pStyle w:val="null3"/>
      </w:pPr>
      <w:r>
        <w:rPr>
          <w:rFonts w:ascii="仿宋_GB2312" w:hAnsi="仿宋_GB2312" w:cs="仿宋_GB2312" w:eastAsia="仿宋_GB2312"/>
        </w:rPr>
        <w:t>联系电话：18502932827</w:t>
      </w:r>
    </w:p>
    <w:p>
      <w:pPr>
        <w:pStyle w:val="null3"/>
      </w:pPr>
      <w:r>
        <w:rPr>
          <w:rFonts w:ascii="仿宋_GB2312" w:hAnsi="仿宋_GB2312" w:cs="仿宋_GB2312" w:eastAsia="仿宋_GB2312"/>
        </w:rPr>
        <w:t>地址：陕西省西安市未央区经济技术开发区未央路169号银池品智天下A座18层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举办一场全面而深入的宣传推介活动，展示西安美术的独特魅力，并通过美术这一直观形象的载体，宣传推介西安悠久的丝路文脉、红色文化、绿树青山和时代新貌，促进文旅事业高质量发展。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西安美术高质量发展暨长安画派宣传推介项目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标的名称：西安美术高质量发展暨长安画派宣传推介项目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西安美术高质量发展暨长安画派宣传推介活动</w:t>
            </w:r>
          </w:p>
          <w:p>
            <w:pPr>
              <w:pStyle w:val="null3"/>
              <w:jc w:val="center"/>
            </w:pPr>
            <w:r>
              <w:rPr>
                <w:rFonts w:ascii="仿宋_GB2312" w:hAnsi="仿宋_GB2312" w:cs="仿宋_GB2312" w:eastAsia="仿宋_GB2312"/>
                <w:sz w:val="21"/>
                <w:b/>
              </w:rPr>
              <w:t>主要服务内容</w:t>
            </w:r>
          </w:p>
          <w:p>
            <w:pPr>
              <w:pStyle w:val="null3"/>
              <w:ind w:firstLine="420"/>
              <w:jc w:val="both"/>
            </w:pPr>
            <w:r>
              <w:rPr>
                <w:rFonts w:ascii="仿宋_GB2312" w:hAnsi="仿宋_GB2312" w:cs="仿宋_GB2312" w:eastAsia="仿宋_GB2312"/>
                <w:sz w:val="21"/>
              </w:rPr>
              <w:t>为深入贯彻落实党的精神，践行总书记的文化思想、文化发展理念和在文艺工作座谈会上的重要讲话精神，进一步落实《中共中央关于繁荣发展社会主义文艺的意见》要求，振兴</w:t>
            </w:r>
            <w:r>
              <w:rPr>
                <w:rFonts w:ascii="仿宋_GB2312" w:hAnsi="仿宋_GB2312" w:cs="仿宋_GB2312" w:eastAsia="仿宋_GB2312"/>
                <w:sz w:val="21"/>
              </w:rPr>
              <w:t>“长安画派”，结合西安市加快建设国家中心城市的战略部署，宣传、推介西安美术高质量发展成就，我院拟开展西安美术高质量发展暨长安画派宣传推介活动。本次活动旨在宣传、推介西安美术高质量发展成就，围绕《西安美术史》、长安画派文化品牌及西安主题性美术创作等主要内容，集中展示西安美术近年来的发展成果。</w:t>
            </w:r>
          </w:p>
          <w:p>
            <w:pPr>
              <w:pStyle w:val="null3"/>
              <w:ind w:firstLine="422"/>
              <w:jc w:val="both"/>
            </w:pPr>
            <w:r>
              <w:rPr>
                <w:rFonts w:ascii="仿宋_GB2312" w:hAnsi="仿宋_GB2312" w:cs="仿宋_GB2312" w:eastAsia="仿宋_GB2312"/>
                <w:sz w:val="21"/>
                <w:b/>
              </w:rPr>
              <w:t>一、目的意义</w:t>
            </w:r>
          </w:p>
          <w:p>
            <w:pPr>
              <w:pStyle w:val="null3"/>
              <w:ind w:firstLine="420"/>
              <w:jc w:val="both"/>
            </w:pPr>
            <w:r>
              <w:rPr>
                <w:rFonts w:ascii="仿宋_GB2312" w:hAnsi="仿宋_GB2312" w:cs="仿宋_GB2312" w:eastAsia="仿宋_GB2312"/>
                <w:sz w:val="21"/>
              </w:rPr>
              <w:t>西安，作为十三朝古都，不仅拥有丰富的历史文化底蕴，还是中国艺术的重要发源地之一。近年来，随着文化产业的蓬勃发展，西安美术事业迎来了前所未有的发展机遇。然而，如何在新时代背景下进一步推动西安美术的高质量发展，振兴长安画派，总结、推广和宣传西安主题性美术创作经验成果，成为亟待解决的课题。</w:t>
            </w:r>
          </w:p>
          <w:p>
            <w:pPr>
              <w:pStyle w:val="null3"/>
              <w:ind w:firstLine="420"/>
              <w:jc w:val="both"/>
            </w:pPr>
            <w:r>
              <w:rPr>
                <w:rFonts w:ascii="仿宋_GB2312" w:hAnsi="仿宋_GB2312" w:cs="仿宋_GB2312" w:eastAsia="仿宋_GB2312"/>
                <w:sz w:val="21"/>
              </w:rPr>
              <w:t>因此，西安美术亟需举办一场全面而深入的宣传推介活动，展示西安美术的独特魅力，并通过美术这一直观形象的载体，宣传推介西安悠久的丝路文脉、红色文化、绿树青山和时代新貌，促进文旅事业高质量发展。</w:t>
            </w:r>
          </w:p>
          <w:p>
            <w:pPr>
              <w:pStyle w:val="null3"/>
              <w:ind w:firstLine="420"/>
              <w:jc w:val="both"/>
            </w:pPr>
            <w:r>
              <w:rPr>
                <w:rFonts w:ascii="仿宋_GB2312" w:hAnsi="仿宋_GB2312" w:cs="仿宋_GB2312" w:eastAsia="仿宋_GB2312"/>
                <w:sz w:val="21"/>
              </w:rPr>
              <w:t>本次活动一是为展示西安美术成就，集中展示西安美术近年来的发展成果，特别是传承长安画派的多项创新实践。二是为振兴长安画派，进一步挖掘和弘扬长安画派的艺术价值，吸引更多艺术家参与创作。三是为激发主题创作，鼓励和支持西安主题性美术创作，反映城市变迁与时代精神。四是为促进文化交流，促进西安与国内乃至国际艺术界的交流与合作，提升西安文化影响力。</w:t>
            </w:r>
          </w:p>
          <w:p>
            <w:pPr>
              <w:pStyle w:val="null3"/>
              <w:ind w:firstLine="422"/>
              <w:jc w:val="both"/>
            </w:pPr>
            <w:r>
              <w:rPr>
                <w:rFonts w:ascii="仿宋_GB2312" w:hAnsi="仿宋_GB2312" w:cs="仿宋_GB2312" w:eastAsia="仿宋_GB2312"/>
                <w:sz w:val="21"/>
                <w:b/>
              </w:rPr>
              <w:t>二、组织架构</w:t>
            </w:r>
          </w:p>
          <w:p>
            <w:pPr>
              <w:pStyle w:val="null3"/>
              <w:ind w:firstLine="420"/>
              <w:jc w:val="both"/>
            </w:pPr>
            <w:r>
              <w:rPr>
                <w:rFonts w:ascii="仿宋_GB2312" w:hAnsi="仿宋_GB2312" w:cs="仿宋_GB2312" w:eastAsia="仿宋_GB2312"/>
                <w:sz w:val="21"/>
              </w:rPr>
              <w:t>实施单位：西安中国画院</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指导单位：中共西安市委宣传部、西安市文旅局</w:t>
            </w:r>
          </w:p>
          <w:p>
            <w:pPr>
              <w:pStyle w:val="null3"/>
              <w:ind w:firstLine="420"/>
              <w:jc w:val="both"/>
            </w:pPr>
            <w:r>
              <w:rPr>
                <w:rFonts w:ascii="仿宋_GB2312" w:hAnsi="仿宋_GB2312" w:cs="仿宋_GB2312" w:eastAsia="仿宋_GB2312"/>
                <w:sz w:val="21"/>
              </w:rPr>
              <w:t>协办单位：《美术》《中国文化报》、《中国美术报》、央视频</w:t>
            </w:r>
            <w:r>
              <w:rPr>
                <w:rFonts w:ascii="仿宋_GB2312" w:hAnsi="仿宋_GB2312" w:cs="仿宋_GB2312" w:eastAsia="仿宋_GB2312"/>
                <w:sz w:val="21"/>
              </w:rPr>
              <w:t>/书画频道、新华网、人民网、光明网等</w:t>
            </w:r>
          </w:p>
          <w:p>
            <w:pPr>
              <w:pStyle w:val="null3"/>
              <w:ind w:firstLine="422"/>
              <w:jc w:val="both"/>
            </w:pPr>
            <w:r>
              <w:rPr>
                <w:rFonts w:ascii="仿宋_GB2312" w:hAnsi="仿宋_GB2312" w:cs="仿宋_GB2312" w:eastAsia="仿宋_GB2312"/>
                <w:sz w:val="21"/>
                <w:b/>
              </w:rPr>
              <w:t>三、活动内容</w:t>
            </w:r>
          </w:p>
          <w:p>
            <w:pPr>
              <w:pStyle w:val="null3"/>
              <w:ind w:firstLine="420"/>
              <w:jc w:val="both"/>
            </w:pPr>
            <w:r>
              <w:rPr>
                <w:rFonts w:ascii="仿宋_GB2312" w:hAnsi="仿宋_GB2312" w:cs="仿宋_GB2312" w:eastAsia="仿宋_GB2312"/>
                <w:sz w:val="21"/>
              </w:rPr>
              <w:t>1.《美术》特邀文章</w:t>
            </w:r>
          </w:p>
          <w:p>
            <w:pPr>
              <w:pStyle w:val="null3"/>
              <w:ind w:firstLine="420"/>
              <w:jc w:val="both"/>
            </w:pPr>
            <w:r>
              <w:rPr>
                <w:rFonts w:ascii="仿宋_GB2312" w:hAnsi="仿宋_GB2312" w:cs="仿宋_GB2312" w:eastAsia="仿宋_GB2312"/>
                <w:sz w:val="21"/>
              </w:rPr>
              <w:t>由《美术》杂志特邀国内知名美术评论家撰文，深入解读长安画派的历史脉络与当代发展路径，系统梳理西安主题性创作的艺术特征与时代价值。文章将结合《西安美术史》编撰成果，展现新时代西安美术在传承创新中的实践探索。</w:t>
            </w:r>
          </w:p>
          <w:p>
            <w:pPr>
              <w:pStyle w:val="null3"/>
              <w:ind w:firstLine="420"/>
              <w:jc w:val="both"/>
            </w:pPr>
            <w:r>
              <w:rPr>
                <w:rFonts w:ascii="仿宋_GB2312" w:hAnsi="仿宋_GB2312" w:cs="仿宋_GB2312" w:eastAsia="仿宋_GB2312"/>
                <w:sz w:val="21"/>
              </w:rPr>
              <w:t>2.《中国美术报》《中国文化报》专栏</w:t>
            </w:r>
          </w:p>
          <w:p>
            <w:pPr>
              <w:pStyle w:val="null3"/>
              <w:ind w:firstLine="420"/>
              <w:jc w:val="both"/>
            </w:pPr>
            <w:r>
              <w:rPr>
                <w:rFonts w:ascii="仿宋_GB2312" w:hAnsi="仿宋_GB2312" w:cs="仿宋_GB2312" w:eastAsia="仿宋_GB2312"/>
                <w:sz w:val="21"/>
              </w:rPr>
              <w:t>在《中国美术报》《中国文化报》等开设</w:t>
            </w:r>
            <w:r>
              <w:rPr>
                <w:rFonts w:ascii="仿宋_GB2312" w:hAnsi="仿宋_GB2312" w:cs="仿宋_GB2312" w:eastAsia="仿宋_GB2312"/>
                <w:sz w:val="21"/>
              </w:rPr>
              <w:t>“西安美术与长安画派”专栏，共</w:t>
            </w:r>
            <w:r>
              <w:rPr>
                <w:rFonts w:ascii="仿宋_GB2312" w:hAnsi="仿宋_GB2312" w:cs="仿宋_GB2312" w:eastAsia="仿宋_GB2312"/>
                <w:sz w:val="21"/>
              </w:rPr>
              <w:t>3</w:t>
            </w:r>
            <w:r>
              <w:rPr>
                <w:rFonts w:ascii="仿宋_GB2312" w:hAnsi="仿宋_GB2312" w:cs="仿宋_GB2312" w:eastAsia="仿宋_GB2312"/>
                <w:sz w:val="21"/>
              </w:rPr>
              <w:t>个</w:t>
            </w:r>
            <w:r>
              <w:rPr>
                <w:rFonts w:ascii="仿宋_GB2312" w:hAnsi="仿宋_GB2312" w:cs="仿宋_GB2312" w:eastAsia="仿宋_GB2312"/>
                <w:sz w:val="21"/>
              </w:rPr>
              <w:t>半</w:t>
            </w:r>
            <w:r>
              <w:rPr>
                <w:rFonts w:ascii="仿宋_GB2312" w:hAnsi="仿宋_GB2312" w:cs="仿宋_GB2312" w:eastAsia="仿宋_GB2312"/>
                <w:sz w:val="21"/>
              </w:rPr>
              <w:t>版，邀请全国知名画家或学者撰写文章，探讨西安美术的历史、现状及未来趋势。征集并发表西安本土艺术家的代表作品介绍及创作心得，以及《西安美术史》编撰过程中的文献整理与理论总结。</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.加印《西安美术史》对外学术交流</w:t>
            </w:r>
          </w:p>
          <w:p>
            <w:pPr>
              <w:pStyle w:val="null3"/>
              <w:ind w:firstLine="420"/>
              <w:jc w:val="both"/>
            </w:pPr>
            <w:r>
              <w:rPr>
                <w:rFonts w:ascii="仿宋_GB2312" w:hAnsi="仿宋_GB2312" w:cs="仿宋_GB2312" w:eastAsia="仿宋_GB2312"/>
                <w:sz w:val="21"/>
              </w:rPr>
              <w:t>加印《西安美术史》</w:t>
            </w:r>
            <w:r>
              <w:rPr>
                <w:rFonts w:ascii="仿宋_GB2312" w:hAnsi="仿宋_GB2312" w:cs="仿宋_GB2312" w:eastAsia="仿宋_GB2312"/>
                <w:sz w:val="21"/>
              </w:rPr>
              <w:t>1000套用于对外学术交流，向全国重点美术院校、研究机构及美术馆赠阅，提升西安美术学术影响力，推动长安画派精神的当代传播与跨文化诠释。</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.新华网等网络媒体报道</w:t>
            </w:r>
          </w:p>
          <w:p>
            <w:pPr>
              <w:pStyle w:val="null3"/>
              <w:ind w:firstLine="420"/>
              <w:jc w:val="both"/>
            </w:pPr>
            <w:r>
              <w:rPr>
                <w:rFonts w:ascii="仿宋_GB2312" w:hAnsi="仿宋_GB2312" w:cs="仿宋_GB2312" w:eastAsia="仿宋_GB2312"/>
                <w:sz w:val="21"/>
              </w:rPr>
              <w:t>在新华网、人民网、文化艺术报、西安新闻网、西安发布、学习强国、西安文旅之声、西安文联、西安中国画院官网等官方媒体平台发布活动报道、艺术家访谈、作品赏析等内容，利用网络平台广泛传播。</w:t>
            </w:r>
          </w:p>
          <w:p>
            <w:pPr>
              <w:pStyle w:val="null3"/>
              <w:ind w:firstLine="422"/>
              <w:jc w:val="both"/>
            </w:pPr>
            <w:r>
              <w:rPr>
                <w:rFonts w:ascii="仿宋_GB2312" w:hAnsi="仿宋_GB2312" w:cs="仿宋_GB2312" w:eastAsia="仿宋_GB2312"/>
                <w:sz w:val="21"/>
                <w:b/>
              </w:rPr>
              <w:t>四、预期效益</w:t>
            </w:r>
          </w:p>
          <w:p>
            <w:pPr>
              <w:pStyle w:val="null3"/>
              <w:ind w:firstLine="420"/>
              <w:jc w:val="both"/>
            </w:pPr>
            <w:r>
              <w:rPr>
                <w:rFonts w:ascii="仿宋_GB2312" w:hAnsi="仿宋_GB2312" w:cs="仿宋_GB2312" w:eastAsia="仿宋_GB2312"/>
                <w:sz w:val="21"/>
              </w:rPr>
              <w:t>学术效益：促进美术理论研究，深化对长安画派及西安美术特色的认识。</w:t>
            </w:r>
          </w:p>
          <w:p>
            <w:pPr>
              <w:pStyle w:val="null3"/>
              <w:ind w:firstLine="420"/>
              <w:jc w:val="both"/>
            </w:pPr>
            <w:r>
              <w:rPr>
                <w:rFonts w:ascii="仿宋_GB2312" w:hAnsi="仿宋_GB2312" w:cs="仿宋_GB2312" w:eastAsia="仿宋_GB2312"/>
                <w:sz w:val="21"/>
              </w:rPr>
              <w:t>文化效益：增强西安文化软实力，提升城市品牌形象。</w:t>
            </w:r>
          </w:p>
          <w:p>
            <w:pPr>
              <w:pStyle w:val="null3"/>
              <w:ind w:firstLine="420"/>
              <w:jc w:val="both"/>
            </w:pPr>
            <w:r>
              <w:rPr>
                <w:rFonts w:ascii="仿宋_GB2312" w:hAnsi="仿宋_GB2312" w:cs="仿宋_GB2312" w:eastAsia="仿宋_GB2312"/>
                <w:sz w:val="21"/>
              </w:rPr>
              <w:t>社会效益：激发公众对美术的兴趣，促进艺术教育与普及，带动文化旅游。</w:t>
            </w:r>
          </w:p>
          <w:p>
            <w:pPr>
              <w:pStyle w:val="null3"/>
              <w:ind w:firstLine="422"/>
              <w:jc w:val="both"/>
            </w:pPr>
            <w:r>
              <w:rPr>
                <w:rFonts w:ascii="仿宋_GB2312" w:hAnsi="仿宋_GB2312" w:cs="仿宋_GB2312" w:eastAsia="仿宋_GB2312"/>
                <w:sz w:val="21"/>
                <w:b/>
              </w:rPr>
              <w:t>五、实施进度</w:t>
            </w:r>
          </w:p>
          <w:p>
            <w:pPr>
              <w:pStyle w:val="null3"/>
              <w:ind w:firstLine="420"/>
              <w:jc w:val="both"/>
            </w:pPr>
            <w:r>
              <w:rPr>
                <w:rFonts w:ascii="仿宋_GB2312" w:hAnsi="仿宋_GB2312" w:cs="仿宋_GB2312" w:eastAsia="仿宋_GB2312"/>
                <w:sz w:val="21"/>
              </w:rPr>
              <w:t>在《中国美术报》《</w:t>
            </w:r>
            <w:r>
              <w:rPr>
                <w:rFonts w:ascii="仿宋_GB2312" w:hAnsi="仿宋_GB2312" w:cs="仿宋_GB2312" w:eastAsia="仿宋_GB2312"/>
                <w:sz w:val="21"/>
              </w:rPr>
              <w:t>中国文化</w:t>
            </w:r>
            <w:r>
              <w:rPr>
                <w:rFonts w:ascii="仿宋_GB2312" w:hAnsi="仿宋_GB2312" w:cs="仿宋_GB2312" w:eastAsia="仿宋_GB2312"/>
                <w:sz w:val="21"/>
              </w:rPr>
              <w:t>报》等开设专栏，征集相关文章；由《美术》邀约理论名家，准备文章。</w:t>
            </w:r>
          </w:p>
          <w:p>
            <w:pPr>
              <w:pStyle w:val="null3"/>
              <w:ind w:firstLine="420"/>
              <w:jc w:val="both"/>
            </w:pPr>
            <w:r>
              <w:rPr>
                <w:rFonts w:ascii="仿宋_GB2312" w:hAnsi="仿宋_GB2312" w:cs="仿宋_GB2312" w:eastAsia="仿宋_GB2312"/>
                <w:sz w:val="21"/>
              </w:rPr>
              <w:t>邀请全国美术名家或知名画家、理论家，在《中国美术报》《中国文化报》发表文章；在新华网等网络媒体宣发</w:t>
            </w:r>
            <w:r>
              <w:rPr>
                <w:rFonts w:ascii="仿宋_GB2312" w:hAnsi="仿宋_GB2312" w:cs="仿宋_GB2312" w:eastAsia="仿宋_GB2312"/>
                <w:sz w:val="21"/>
              </w:rPr>
              <w:t>10篇以上相关报道。</w:t>
            </w:r>
          </w:p>
          <w:p>
            <w:pPr>
              <w:pStyle w:val="null3"/>
              <w:ind w:firstLine="420"/>
              <w:jc w:val="both"/>
            </w:pPr>
            <w:r>
              <w:rPr>
                <w:rFonts w:ascii="仿宋_GB2312" w:hAnsi="仿宋_GB2312" w:cs="仿宋_GB2312" w:eastAsia="仿宋_GB2312"/>
                <w:sz w:val="21"/>
              </w:rPr>
              <w:t>收集反馈，评估活动效果，整理结项报告。</w:t>
            </w:r>
          </w:p>
          <w:p>
            <w:pPr>
              <w:pStyle w:val="null3"/>
              <w:ind w:firstLine="422"/>
              <w:jc w:val="both"/>
            </w:pPr>
            <w:r>
              <w:rPr>
                <w:rFonts w:ascii="仿宋_GB2312" w:hAnsi="仿宋_GB2312" w:cs="仿宋_GB2312" w:eastAsia="仿宋_GB2312"/>
                <w:sz w:val="21"/>
                <w:b/>
              </w:rPr>
              <w:t>六、活动</w:t>
            </w:r>
            <w:r>
              <w:rPr>
                <w:rFonts w:ascii="仿宋_GB2312" w:hAnsi="仿宋_GB2312" w:cs="仿宋_GB2312" w:eastAsia="仿宋_GB2312"/>
                <w:sz w:val="21"/>
                <w:b/>
              </w:rPr>
              <w:t>内容</w:t>
            </w:r>
          </w:p>
          <w:p>
            <w:pPr>
              <w:pStyle w:val="null3"/>
              <w:ind w:firstLine="420"/>
              <w:jc w:val="both"/>
            </w:pPr>
            <w:r>
              <w:rPr>
                <w:rFonts w:ascii="仿宋_GB2312" w:hAnsi="仿宋_GB2312" w:cs="仿宋_GB2312" w:eastAsia="仿宋_GB2312"/>
                <w:sz w:val="21"/>
              </w:rPr>
              <w:t>1.纸媒推广：在《美术》上发布6版。在</w:t>
            </w:r>
            <w:r>
              <w:rPr>
                <w:rFonts w:ascii="仿宋_GB2312" w:hAnsi="仿宋_GB2312" w:cs="仿宋_GB2312" w:eastAsia="仿宋_GB2312"/>
                <w:sz w:val="21"/>
              </w:rPr>
              <w:t>《</w:t>
            </w:r>
            <w:r>
              <w:rPr>
                <w:rFonts w:ascii="仿宋_GB2312" w:hAnsi="仿宋_GB2312" w:cs="仿宋_GB2312" w:eastAsia="仿宋_GB2312"/>
                <w:sz w:val="21"/>
              </w:rPr>
              <w:t>中国文化报》开设半版，在</w:t>
            </w:r>
            <w:r>
              <w:rPr>
                <w:rFonts w:ascii="仿宋_GB2312" w:hAnsi="仿宋_GB2312" w:cs="仿宋_GB2312" w:eastAsia="仿宋_GB2312"/>
                <w:sz w:val="21"/>
              </w:rPr>
              <w:t>《中国美术报》开设</w:t>
            </w:r>
            <w:r>
              <w:rPr>
                <w:rFonts w:ascii="仿宋_GB2312" w:hAnsi="仿宋_GB2312" w:cs="仿宋_GB2312" w:eastAsia="仿宋_GB2312"/>
                <w:sz w:val="21"/>
              </w:rPr>
              <w:t>1个整版（或2个半</w:t>
            </w:r>
            <w:r>
              <w:rPr>
                <w:rFonts w:ascii="仿宋_GB2312" w:hAnsi="仿宋_GB2312" w:cs="仿宋_GB2312" w:eastAsia="仿宋_GB2312"/>
                <w:sz w:val="21"/>
              </w:rPr>
              <w:t>版</w:t>
            </w:r>
            <w:r>
              <w:rPr>
                <w:rFonts w:ascii="仿宋_GB2312" w:hAnsi="仿宋_GB2312" w:cs="仿宋_GB2312" w:eastAsia="仿宋_GB2312"/>
                <w:sz w:val="21"/>
              </w:rPr>
              <w:t>）</w:t>
            </w:r>
            <w:r>
              <w:rPr>
                <w:rFonts w:ascii="仿宋_GB2312" w:hAnsi="仿宋_GB2312" w:cs="仿宋_GB2312" w:eastAsia="仿宋_GB2312"/>
                <w:sz w:val="21"/>
              </w:rPr>
              <w:t>。专家评审及撰写。</w:t>
            </w:r>
          </w:p>
          <w:p>
            <w:pPr>
              <w:pStyle w:val="null3"/>
              <w:ind w:firstLine="420"/>
              <w:jc w:val="both"/>
            </w:pPr>
            <w:r>
              <w:rPr>
                <w:rFonts w:ascii="仿宋_GB2312" w:hAnsi="仿宋_GB2312" w:cs="仿宋_GB2312" w:eastAsia="仿宋_GB2312"/>
                <w:sz w:val="21"/>
              </w:rPr>
              <w:t>2.对外交流宣传品制作：印制1000套精装《西安美术史》，供市上对外交流及中外美术学术交流。</w:t>
            </w:r>
          </w:p>
          <w:p>
            <w:pPr>
              <w:pStyle w:val="null3"/>
              <w:ind w:firstLine="420"/>
              <w:jc w:val="both"/>
            </w:pPr>
            <w:r>
              <w:rPr>
                <w:rFonts w:ascii="仿宋_GB2312" w:hAnsi="仿宋_GB2312" w:cs="仿宋_GB2312" w:eastAsia="仿宋_GB2312"/>
                <w:sz w:val="21"/>
              </w:rPr>
              <w:t>3.网络媒体宣传：计划全年在10家以上媒体发布相关报道20篇以上。</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附：服务清单</w:t>
            </w:r>
          </w:p>
          <w:tbl>
            <w:tblPr>
              <w:tblInd w:type="dxa" w:w="135"/>
              <w:tblBorders>
                <w:top w:val="none" w:color="000000" w:sz="4"/>
                <w:left w:val="none" w:color="000000" w:sz="4"/>
                <w:bottom w:val="none" w:color="000000" w:sz="4"/>
                <w:right w:val="none" w:color="000000" w:sz="4"/>
                <w:insideH w:val="none"/>
                <w:insideV w:val="none"/>
              </w:tblBorders>
            </w:tblPr>
            <w:tblGrid>
              <w:gridCol w:w="326"/>
              <w:gridCol w:w="310"/>
              <w:gridCol w:w="408"/>
              <w:gridCol w:w="503"/>
              <w:gridCol w:w="503"/>
              <w:gridCol w:w="503"/>
            </w:tblGrid>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71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r>
                    <w:rPr>
                      <w:rFonts w:ascii="仿宋_GB2312" w:hAnsi="仿宋_GB2312" w:cs="仿宋_GB2312" w:eastAsia="仿宋_GB2312"/>
                      <w:sz w:val="21"/>
                      <w:b/>
                    </w:rPr>
                    <w:t>/单项</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单价（元）</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单项合计（元）</w:t>
                  </w: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纸媒推广</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《美术》</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6版</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10000.00</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60000.00</w:t>
                  </w:r>
                </w:p>
              </w:tc>
            </w:tr>
            <w:tr>
              <w:tc>
                <w:tcPr>
                  <w:tcW w:type="dxa" w:w="326"/>
                  <w:vMerge/>
                  <w:tcBorders>
                    <w:top w:val="none" w:color="000000" w:sz="4"/>
                    <w:left w:val="single" w:color="000000" w:sz="4"/>
                    <w:bottom w:val="single" w:color="000000" w:sz="4"/>
                    <w:right w:val="single" w:color="000000" w:sz="4"/>
                  </w:tcBorders>
                </w:tcPr>
                <w:p/>
              </w:tc>
              <w:tc>
                <w:tcPr>
                  <w:tcW w:type="dxa" w:w="310"/>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中国文化报》</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半版</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r>
            <w:tr>
              <w:tc>
                <w:tcPr>
                  <w:tcW w:type="dxa" w:w="326"/>
                  <w:vMerge/>
                  <w:tcBorders>
                    <w:top w:val="none" w:color="000000" w:sz="4"/>
                    <w:left w:val="single" w:color="000000" w:sz="4"/>
                    <w:bottom w:val="single" w:color="000000" w:sz="4"/>
                    <w:right w:val="single" w:color="000000" w:sz="4"/>
                  </w:tcBorders>
                </w:tcPr>
                <w:p/>
              </w:tc>
              <w:tc>
                <w:tcPr>
                  <w:tcW w:type="dxa" w:w="310"/>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《中国美术报》</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1个整版（或2个半</w:t>
                  </w:r>
                  <w:r>
                    <w:rPr>
                      <w:rFonts w:ascii="仿宋_GB2312" w:hAnsi="仿宋_GB2312" w:cs="仿宋_GB2312" w:eastAsia="仿宋_GB2312"/>
                      <w:sz w:val="21"/>
                    </w:rPr>
                    <w:t>版</w:t>
                  </w:r>
                  <w:r>
                    <w:rPr>
                      <w:rFonts w:ascii="仿宋_GB2312" w:hAnsi="仿宋_GB2312" w:cs="仿宋_GB2312" w:eastAsia="仿宋_GB2312"/>
                      <w:sz w:val="21"/>
                    </w:rPr>
                    <w:t>）</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r>
            <w:tr>
              <w:tc>
                <w:tcPr>
                  <w:tcW w:type="dxa" w:w="326"/>
                  <w:vMerge/>
                  <w:tcBorders>
                    <w:top w:val="none" w:color="000000" w:sz="4"/>
                    <w:left w:val="single" w:color="000000" w:sz="4"/>
                    <w:bottom w:val="single" w:color="000000" w:sz="4"/>
                    <w:right w:val="single" w:color="000000" w:sz="4"/>
                  </w:tcBorders>
                </w:tcPr>
                <w:p/>
              </w:tc>
              <w:tc>
                <w:tcPr>
                  <w:tcW w:type="dxa" w:w="310"/>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专家评审及撰写</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20000.00</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对外交流宣传品制作</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r>
                    <w:rPr>
                      <w:rFonts w:ascii="仿宋_GB2312" w:hAnsi="仿宋_GB2312" w:cs="仿宋_GB2312" w:eastAsia="仿宋_GB2312"/>
                      <w:sz w:val="21"/>
                    </w:rPr>
                    <w:t>套</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00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380000.00</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网络媒体宣传</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10000.00</w:t>
                  </w:r>
                </w:p>
              </w:tc>
            </w:tr>
            <w:tr>
              <w:tc>
                <w:tcPr>
                  <w:tcW w:type="dxa" w:w="205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510000.00</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签订合同之日起至整个项目结束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57.00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具有独立承担民事责任能力的法人、其他组织或自然人，并出具合法有效的营业执照等国家规定的相关证明，自然人参与的提供其身份证明（提供复印件加盖公章）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投标代表资格</w:t>
            </w:r>
          </w:p>
        </w:tc>
        <w:tc>
          <w:tcPr>
            <w:tcW w:type="dxa" w:w="3322"/>
          </w:tcPr>
          <w:p>
            <w:pPr>
              <w:pStyle w:val="null3"/>
            </w:pPr>
            <w:r>
              <w:rPr>
                <w:rFonts w:ascii="仿宋_GB2312" w:hAnsi="仿宋_GB2312" w:cs="仿宋_GB2312" w:eastAsia="仿宋_GB2312"/>
              </w:rPr>
              <w:t>供应商应授权合法的人员参加采购活动全过程，其中法定代表人直接参加磋商的，须出具法定代表人身份证扫描件，并与营业执照上信息一致；法定代表人授权代表参加磋商的，须出具法定代表人授权书及授权代表身份证扫描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供应商需提供行业行政主管部门颁发的《印刷经营许可证》（含出版物印刷类）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报表（至少包括资产负债表和利润表，成立时间至提交磋商响应文件递交截止时间不足一年的可提供成立后任意时段的资产负债表），或其基本存款账户开户银行出具的资信证明（附开户许可证或开户备案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提供磋商前一年内已缴纳的至少一个月的纳税证明或完税证明（任意税种），依法免税的单位应提供相关证明材料；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提供磋商前一年内已缴存的至少一个月的社会保障资金缴存单据或社保机构开具的社会保险参保缴费情况证明，依法不需要缴纳社会保障资金的单位应提供相关证明材料；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没有重大违法记录书面声明</w:t>
            </w:r>
          </w:p>
        </w:tc>
        <w:tc>
          <w:tcPr>
            <w:tcW w:type="dxa" w:w="3322"/>
          </w:tcPr>
          <w:p>
            <w:pPr>
              <w:pStyle w:val="null3"/>
            </w:pPr>
            <w:r>
              <w:rPr>
                <w:rFonts w:ascii="仿宋_GB2312" w:hAnsi="仿宋_GB2312" w:cs="仿宋_GB2312" w:eastAsia="仿宋_GB2312"/>
              </w:rPr>
              <w:t>参加政府采购活动近三年内，在经营活动中没有重大违法记录书面声明（加盖公章）；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供应商不得为“信用中国”网站（www.creditchina.gov.cn）中列入严重失信主体名单，供应商不得为“中国执行信息公开网”（http://zxgk.court.gov.cn/shixin/） 中列入严重失信被执行人，供应商不得为政府采购严重违法失信行为记录名单的供应商；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服务内容及服务邀请应答表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根据供应商项目整体实施方案进行评审（从实施计划、时间进度、工作环节时效控制等内容）； 磋商小组按整体实施方案详细程度打分； 1、方案详细：内容完整；安排紧密；保障性高；完全满足项目要求，得15分； 2、方案较详细：内容较完整；安排较紧密；保障性较高；满足项目要求，得12分； 3、方案一般：内容一般；安排一般；保障性一般；一般满足项目要求，得9分； 4、方案较差：内容较差；安排较差；保障性较差；得6分； 5、方案差：内容差；安排差；保障性差；得3分； 未提供方案，得0分。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供应商根据项目背景和采购需求提供活动推广方案，对供应商提供的活动推广宣传方案进行评审： 磋商小组按整体宣传推广方案详细程度打分； 1、方案详细：内容完整；安排紧密；保障性高；完全满足项目要求，得15分； 2、方案较详细：内容较完整；安排较紧密；保障性较高；满足项目要求，得12分； 3、方案一般：内容一般；安排一般；保障性一般；一般满足项目要求，得9分； 4、方案较差：内容较差；安排较差；保障性较差；得6分； 5、方案差：内容差；安排差；保障性差；得3分； 未提供方案，得0分。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根据供应商提供的人员配备方案的针对性、合理性、科学性等情况进行综合评分； 1、方案详细：内容完整；保障性高；完全满足项目要求，得15分； 2、方案较详细：内容较完整；保障性较高；满足项目要求，得12分； 3、方案一般：内容一般；保障性一般；一般满足项目要求，得9分； 4、方案较差：内容较差；保障性较差；得6分； 5、方案差：内容差；保障性差；得3分； 未提供方案，得0分。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供应商提供针对本项目未达到预期效果的补救措施及应急预案。磋商小组按方案详细程度打分； 1、方案详细：内容完整；保障性高；完全满足项目要求，得10分； 2、方案较详细：内容较完整；保障性较高；满足项目要求，得8分； 3、方案一般：内容一般；保障性一般；一般满足项目要求，得6分； 4、方案较差：内容较差；保障性较差；得4分； 5、方案差：内容差；保障性差；得2分； 未提供方案，得0分。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供应商提供针对本项目服务质量保证。 对整个项目服务期限内质量控制管理，磋商小组按方案详细程度打分； 1、方案详细：内容完整；保障性高；完全满足项目要求，得10分； 2、方案较详细：内容较完整；保障性较高；满足项目要求，得8分； 3、方案一般：内容一般；保障性一般；一般满足项目要求，得6分； 4、方案较差：内容较差；保障性较差；得4分； 5、方案差：内容差；保障性差；得2分； 未提供方案，得0分。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供应商对本项目周期、计划、服务的周到性，项目负责人不得随意更换，后期成果存在问题的解决措施等承诺措施进行评审。磋商小组按方案详细程度打分； 1、方案详细：内容完整；保障性高；完全满足项目要求，得5分； 2、方案较详细：内容较完整；保障性较高；满足项目要求，得4分； 3、方案一般：内容一般；保障性一般；一般满足项目要求，得3分； 4、方案较差：内容较差；保障性较差；得2分； 5、方案差：内容差；保障性差；得1分； 未提供方案，得0分。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供应商提供自2023年1月1日至今类似项目业绩，响应文件中附有其业绩证明材料，业绩以合同为依据，每提供一个计2.5分，满分10分。 （注：响应文件中提供复印件加盖供应商公章）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详见附件：西安美术高质量发展暨长安画派宣传推介活动合同.docx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