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资格审查部分</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line="360" w:lineRule="auto"/>
        <w:ind w:firstLine="422" w:firstLineChars="200"/>
        <w:jc w:val="center"/>
        <w:rPr>
          <w:rFonts w:hAnsi="宋体" w:cs="宋体"/>
          <w:b/>
          <w:bCs/>
          <w:sz w:val="21"/>
          <w:szCs w:val="21"/>
        </w:rPr>
      </w:pPr>
      <w:r>
        <w:rPr>
          <w:rFonts w:hint="eastAsia" w:hAnsi="宋体" w:cs="宋体"/>
          <w:b/>
          <w:bCs/>
          <w:sz w:val="21"/>
          <w:szCs w:val="21"/>
        </w:rPr>
        <w:t>投标人基本情况表</w:t>
      </w:r>
    </w:p>
    <w:tbl>
      <w:tblPr>
        <w:tblStyle w:val="10"/>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48"/>
        <w:gridCol w:w="2110"/>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投标人名称</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法定代表人</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统一</w:t>
            </w:r>
          </w:p>
          <w:p>
            <w:pPr>
              <w:topLinePunct/>
              <w:spacing w:line="360" w:lineRule="auto"/>
              <w:jc w:val="center"/>
              <w:rPr>
                <w:rFonts w:hAnsi="宋体" w:cs="宋体"/>
                <w:sz w:val="21"/>
                <w:szCs w:val="21"/>
              </w:rPr>
            </w:pPr>
            <w:r>
              <w:rPr>
                <w:rFonts w:hint="eastAsia" w:hAnsi="宋体" w:cs="宋体"/>
                <w:sz w:val="21"/>
                <w:szCs w:val="21"/>
              </w:rPr>
              <w:t>社会信用代码</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邮政编码</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上年营业收入</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员工总人数</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Ansi="宋体" w:cs="宋体"/>
                <w:sz w:val="21"/>
                <w:szCs w:val="21"/>
              </w:rPr>
            </w:pPr>
            <w:r>
              <w:rPr>
                <w:rFonts w:hint="eastAsia" w:hAnsi="宋体" w:cs="宋体"/>
                <w:sz w:val="21"/>
                <w:szCs w:val="21"/>
              </w:rPr>
              <w:t>营业执照</w:t>
            </w: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注册号码</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注册地址</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发证日期</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（主营）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（兼营）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基本账户开户行及账号</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资产总额（万元）</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资质名称</w:t>
            </w:r>
          </w:p>
        </w:tc>
        <w:tc>
          <w:tcPr>
            <w:tcW w:w="2308" w:type="dxa"/>
            <w:gridSpan w:val="2"/>
            <w:vAlign w:val="center"/>
          </w:tcPr>
          <w:p>
            <w:pPr>
              <w:topLinePunct/>
              <w:spacing w:line="360" w:lineRule="auto"/>
              <w:jc w:val="center"/>
              <w:rPr>
                <w:rFonts w:hAnsi="宋体" w:cs="宋体"/>
                <w:sz w:val="21"/>
                <w:szCs w:val="21"/>
              </w:rPr>
            </w:pPr>
            <w:r>
              <w:rPr>
                <w:rFonts w:hint="eastAsia" w:hAnsi="宋体" w:cs="宋体"/>
                <w:sz w:val="21"/>
                <w:szCs w:val="21"/>
              </w:rPr>
              <w:t>等级</w:t>
            </w:r>
          </w:p>
        </w:tc>
        <w:tc>
          <w:tcPr>
            <w:tcW w:w="1227" w:type="dxa"/>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3277" w:type="dxa"/>
            <w:gridSpan w:val="2"/>
            <w:vAlign w:val="center"/>
          </w:tcPr>
          <w:p>
            <w:pPr>
              <w:topLinePunct/>
              <w:spacing w:line="360" w:lineRule="auto"/>
              <w:jc w:val="center"/>
              <w:rPr>
                <w:rFonts w:hAnsi="宋体" w:cs="宋体"/>
                <w:sz w:val="21"/>
                <w:szCs w:val="21"/>
              </w:rPr>
            </w:pPr>
            <w:r>
              <w:rPr>
                <w:rFonts w:hint="eastAsia" w:hAnsi="宋体" w:cs="宋体"/>
                <w:sz w:val="21"/>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Ansi="宋体" w:cs="宋体"/>
                <w:sz w:val="21"/>
                <w:szCs w:val="21"/>
              </w:rPr>
            </w:pPr>
            <w:r>
              <w:rPr>
                <w:rFonts w:hint="eastAsia" w:hAnsi="宋体" w:cs="宋体"/>
                <w:sz w:val="21"/>
                <w:szCs w:val="21"/>
              </w:rPr>
              <w:t>备注</w:t>
            </w:r>
          </w:p>
        </w:tc>
        <w:tc>
          <w:tcPr>
            <w:tcW w:w="7960" w:type="dxa"/>
            <w:gridSpan w:val="6"/>
            <w:vAlign w:val="center"/>
          </w:tcPr>
          <w:p>
            <w:pPr>
              <w:topLinePunct/>
              <w:spacing w:line="360" w:lineRule="auto"/>
              <w:rPr>
                <w:rFonts w:hAnsi="宋体" w:cs="宋体"/>
                <w:sz w:val="21"/>
                <w:szCs w:val="21"/>
              </w:rPr>
            </w:pPr>
          </w:p>
        </w:tc>
      </w:tr>
    </w:tbl>
    <w:p>
      <w:pPr>
        <w:spacing w:line="360" w:lineRule="auto"/>
        <w:ind w:firstLine="3360" w:firstLineChars="16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lang w:eastAsia="zh-CN"/>
        </w:rPr>
        <w:t>供应商</w:t>
      </w:r>
      <w:r>
        <w:rPr>
          <w:rFonts w:hint="eastAsia" w:hAnsi="宋体" w:cs="宋体"/>
          <w:sz w:val="21"/>
          <w:szCs w:val="21"/>
        </w:rPr>
        <w:t>（公章）：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djustRightInd w:val="0"/>
        <w:snapToGrid w:val="0"/>
        <w:spacing w:line="360" w:lineRule="auto"/>
        <w:ind w:firstLine="3360" w:firstLineChars="16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autoSpaceDE w:val="0"/>
        <w:autoSpaceDN w:val="0"/>
        <w:adjustRightInd w:val="0"/>
        <w:snapToGrid w:val="0"/>
        <w:spacing w:before="120" w:line="360" w:lineRule="auto"/>
        <w:jc w:val="center"/>
        <w:outlineLvl w:val="2"/>
        <w:rPr>
          <w:rFonts w:hAnsi="宋体" w:cs="宋体"/>
          <w:sz w:val="21"/>
          <w:szCs w:val="21"/>
        </w:rPr>
      </w:pPr>
      <w:r>
        <w:rPr>
          <w:rFonts w:hint="eastAsia" w:hAnsi="宋体" w:cs="宋体"/>
          <w:sz w:val="21"/>
          <w:szCs w:val="21"/>
        </w:rPr>
        <w:br w:type="page"/>
      </w:r>
      <w:bookmarkStart w:id="0" w:name="_Toc2296"/>
      <w:bookmarkStart w:id="1" w:name="_Toc1730"/>
      <w:bookmarkStart w:id="2" w:name="_Toc30017"/>
      <w:bookmarkStart w:id="3" w:name="_Toc8313"/>
      <w:bookmarkStart w:id="4" w:name="_Toc10232"/>
      <w:bookmarkStart w:id="5" w:name="_Toc10169"/>
      <w:bookmarkStart w:id="6" w:name="_Toc495671262"/>
      <w:bookmarkStart w:id="7" w:name="_Toc31488"/>
      <w:bookmarkStart w:id="8" w:name="_Toc495681405"/>
      <w:bookmarkStart w:id="9" w:name="_Toc27035"/>
      <w:bookmarkStart w:id="10" w:name="_Toc495681532"/>
      <w:bookmarkStart w:id="11" w:name="_Toc495908047"/>
      <w:bookmarkStart w:id="12" w:name="_Toc495681251"/>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30185"/>
      <w:bookmarkStart w:id="14" w:name="_Toc25217"/>
      <w:bookmarkStart w:id="15" w:name="_Toc4584"/>
      <w:bookmarkStart w:id="16" w:name="_Toc27384"/>
      <w:bookmarkStart w:id="17" w:name="_Toc21316"/>
      <w:bookmarkStart w:id="18" w:name="_Toc24754"/>
      <w:bookmarkStart w:id="19" w:name="_Toc894"/>
      <w:bookmarkStart w:id="20" w:name="_Toc32165"/>
      <w:bookmarkStart w:id="21" w:name="_Toc20217"/>
      <w:bookmarkStart w:id="22" w:name="_Toc495671270"/>
      <w:bookmarkStart w:id="23" w:name="_Toc16911"/>
      <w:bookmarkStart w:id="24" w:name="_Toc19057"/>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供应商需提供具有财务审计资质单位出具的2024年度</w:t>
      </w:r>
      <w:r>
        <w:rPr>
          <w:rFonts w:hint="eastAsia" w:hAnsi="宋体" w:cs="宋体"/>
          <w:sz w:val="21"/>
          <w:szCs w:val="21"/>
          <w:lang w:eastAsia="zh-CN"/>
        </w:rPr>
        <w:t>或</w:t>
      </w:r>
      <w:r>
        <w:rPr>
          <w:rFonts w:hint="eastAsia" w:hAnsi="宋体" w:cs="宋体"/>
          <w:sz w:val="21"/>
          <w:szCs w:val="21"/>
          <w:lang w:val="en-US" w:eastAsia="zh-CN"/>
        </w:rPr>
        <w:t>2025年度</w:t>
      </w:r>
      <w:bookmarkStart w:id="76" w:name="_GoBack"/>
      <w:bookmarkEnd w:id="76"/>
      <w:r>
        <w:rPr>
          <w:rFonts w:hint="eastAsia" w:hAnsi="宋体" w:cs="宋体"/>
          <w:sz w:val="21"/>
          <w:szCs w:val="21"/>
        </w:rPr>
        <w:t>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1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5342"/>
      <w:bookmarkStart w:id="26" w:name="_Toc17892"/>
      <w:bookmarkStart w:id="27" w:name="_Toc19234"/>
      <w:bookmarkStart w:id="28" w:name="_Toc6124"/>
      <w:bookmarkStart w:id="29" w:name="_Toc4064"/>
      <w:bookmarkStart w:id="30" w:name="_Toc27653"/>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 2025年</w:t>
      </w:r>
      <w:r>
        <w:rPr>
          <w:rFonts w:hint="eastAsia" w:hAnsi="宋体" w:cs="宋体"/>
          <w:sz w:val="21"/>
          <w:szCs w:val="21"/>
          <w:lang w:val="en-US" w:eastAsia="zh-CN"/>
        </w:rPr>
        <w:t>10</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1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5283"/>
      <w:bookmarkStart w:id="32" w:name="_Toc23064"/>
      <w:bookmarkStart w:id="33" w:name="_Toc1891"/>
      <w:bookmarkStart w:id="34" w:name="_Toc7176"/>
      <w:bookmarkStart w:id="35" w:name="_Toc17953"/>
      <w:bookmarkStart w:id="36" w:name="_Toc12644"/>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 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bidi w:val="0"/>
        <w:rPr>
          <w:rFonts w:hint="eastAsia"/>
        </w:rPr>
      </w:pPr>
      <w:bookmarkStart w:id="37" w:name="_Toc19859"/>
      <w:bookmarkStart w:id="38" w:name="_Toc24182"/>
      <w:bookmarkStart w:id="39" w:name="_Toc21012"/>
    </w:p>
    <w:p>
      <w:pPr>
        <w:pStyle w:val="1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1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pPr>
    </w:p>
    <w:p>
      <w:pPr>
        <w:spacing w:line="360" w:lineRule="auto"/>
        <w:jc w:val="center"/>
        <w:outlineLvl w:val="2"/>
        <w:rPr>
          <w:rFonts w:hAnsi="宋体" w:cs="宋体"/>
          <w:b/>
          <w:sz w:val="21"/>
          <w:szCs w:val="21"/>
        </w:rPr>
      </w:pPr>
      <w:bookmarkStart w:id="40" w:name="_Toc1093"/>
      <w:bookmarkStart w:id="41" w:name="_Toc31742"/>
      <w:bookmarkStart w:id="42" w:name="_Toc8455"/>
      <w:bookmarkStart w:id="43" w:name="_Toc25944"/>
      <w:bookmarkStart w:id="44" w:name="_Toc10898"/>
      <w:bookmarkStart w:id="45" w:name="_Toc18948"/>
      <w:bookmarkStart w:id="46" w:name="_Toc23846"/>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utoSpaceDE w:val="0"/>
        <w:autoSpaceDN w:val="0"/>
        <w:adjustRightInd w:val="0"/>
        <w:spacing w:line="360" w:lineRule="auto"/>
        <w:ind w:firstLine="3360" w:firstLineChars="16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1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6501"/>
      <w:bookmarkStart w:id="49" w:name="_Toc28784"/>
      <w:bookmarkStart w:id="50" w:name="_Toc10275"/>
      <w:bookmarkStart w:id="51" w:name="_Toc1010"/>
      <w:bookmarkStart w:id="52" w:name="_Toc3871"/>
      <w:bookmarkStart w:id="53" w:name="_Toc17057"/>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495681533"/>
      <w:bookmarkStart w:id="55" w:name="_Toc495681252"/>
      <w:bookmarkStart w:id="56" w:name="_Toc495681406"/>
      <w:bookmarkStart w:id="57" w:name="_Toc18742"/>
      <w:bookmarkStart w:id="58" w:name="_Toc32662"/>
      <w:bookmarkStart w:id="59" w:name="_Toc495671263"/>
      <w:bookmarkStart w:id="60" w:name="_Toc1610"/>
      <w:bookmarkStart w:id="61" w:name="_Toc495908048"/>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b w:val="0"/>
                <w:color w:val="auto"/>
                <w:sz w:val="21"/>
                <w:szCs w:val="21"/>
                <w:lang w:val="zh-CN"/>
              </w:rPr>
            </w:pPr>
            <w:r>
              <w:rPr>
                <w:rFonts w:hint="eastAsia"/>
                <w:lang w:val="zh-CN"/>
              </w:rPr>
              <w:t xml:space="preserve">         </w:t>
            </w:r>
          </w:p>
          <w:p>
            <w:pPr>
              <w:pStyle w:val="1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lang w:val="zh-CN"/>
              </w:rPr>
            </w:pPr>
            <w:r>
              <w:rPr>
                <w:rFonts w:hint="eastAsia"/>
                <w:lang w:val="zh-CN"/>
              </w:rPr>
              <w:t xml:space="preserve">        </w:t>
            </w:r>
          </w:p>
          <w:p>
            <w:pPr>
              <w:pStyle w:val="1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Ansi="宋体" w:cs="宋体"/>
          <w:sz w:val="21"/>
          <w:szCs w:val="21"/>
        </w:rPr>
      </w:pPr>
      <w:bookmarkStart w:id="62" w:name="_Toc495681534"/>
      <w:bookmarkStart w:id="63" w:name="_Toc18921"/>
      <w:bookmarkStart w:id="64" w:name="_Toc495681253"/>
      <w:bookmarkStart w:id="65" w:name="_Toc495681407"/>
      <w:bookmarkStart w:id="66" w:name="_Toc495671264"/>
      <w:bookmarkStart w:id="67" w:name="_Toc495908049"/>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29369"/>
      <w:bookmarkStart w:id="69" w:name="_Toc32169"/>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致：陕西瀚海昱源企业管理咨询有限公司</w:t>
      </w:r>
      <w:r>
        <w:rPr>
          <w:rFonts w:hint="eastAsia" w:hAnsi="宋体" w:cs="宋体"/>
          <w:sz w:val="21"/>
          <w:szCs w:val="21"/>
          <w:lang w:val="zh-CN"/>
        </w:rPr>
        <w:t>：</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5"/>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Ansi="宋体" w:cs="宋体"/>
          <w:b/>
          <w:sz w:val="21"/>
          <w:szCs w:val="21"/>
          <w:lang w:val="zh-CN"/>
        </w:rPr>
      </w:pPr>
      <w:bookmarkStart w:id="70" w:name="_Toc10845"/>
      <w:bookmarkStart w:id="71" w:name="_Toc25082"/>
      <w:bookmarkStart w:id="72" w:name="_Toc10643"/>
      <w:r>
        <w:rPr>
          <w:rFonts w:hint="eastAsia" w:hAnsi="宋体" w:cs="宋体"/>
          <w:sz w:val="21"/>
          <w:szCs w:val="21"/>
        </w:rPr>
        <w:t>格式自拟</w:t>
      </w:r>
    </w:p>
    <w:p>
      <w:pPr>
        <w:adjustRightInd w:val="0"/>
        <w:snapToGrid w:val="0"/>
        <w:spacing w:line="360" w:lineRule="auto"/>
        <w:jc w:val="center"/>
        <w:outlineLvl w:val="2"/>
        <w:rPr>
          <w:rFonts w:hAnsi="宋体" w:cs="宋体"/>
          <w:b/>
          <w:sz w:val="21"/>
          <w:szCs w:val="21"/>
          <w:lang w:val="zh-CN"/>
        </w:rPr>
      </w:pPr>
      <w:bookmarkStart w:id="73" w:name="_Toc20361"/>
      <w:bookmarkStart w:id="74" w:name="_Toc29"/>
      <w:bookmarkStart w:id="75" w:name="_Toc30526"/>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bookmarkEnd w:id="70"/>
    <w:bookmarkEnd w:id="71"/>
    <w:bookmarkEnd w:id="72"/>
    <w:bookmarkEnd w:id="73"/>
    <w:bookmarkEnd w:id="74"/>
    <w:bookmarkEnd w:id="75"/>
    <w:p>
      <w:pPr>
        <w:pStyle w:val="12"/>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4C3E"/>
    <w:rsid w:val="024E2218"/>
    <w:rsid w:val="05077E49"/>
    <w:rsid w:val="054461F7"/>
    <w:rsid w:val="066F6C08"/>
    <w:rsid w:val="06C71C12"/>
    <w:rsid w:val="090A2793"/>
    <w:rsid w:val="0A193CCF"/>
    <w:rsid w:val="0B420230"/>
    <w:rsid w:val="0D9A25AB"/>
    <w:rsid w:val="10D961D4"/>
    <w:rsid w:val="124F2EC4"/>
    <w:rsid w:val="146418EF"/>
    <w:rsid w:val="14CA1DFF"/>
    <w:rsid w:val="16F8459A"/>
    <w:rsid w:val="17443366"/>
    <w:rsid w:val="17B93114"/>
    <w:rsid w:val="18040E4A"/>
    <w:rsid w:val="185858BB"/>
    <w:rsid w:val="19EF25E6"/>
    <w:rsid w:val="1BC12A1E"/>
    <w:rsid w:val="1C3F6CBE"/>
    <w:rsid w:val="1FB00ACC"/>
    <w:rsid w:val="242104E5"/>
    <w:rsid w:val="246C25F2"/>
    <w:rsid w:val="26974669"/>
    <w:rsid w:val="292224D7"/>
    <w:rsid w:val="29B0282F"/>
    <w:rsid w:val="2A48281A"/>
    <w:rsid w:val="2A523030"/>
    <w:rsid w:val="2BD3061F"/>
    <w:rsid w:val="2CF15B58"/>
    <w:rsid w:val="2D311246"/>
    <w:rsid w:val="32CD047A"/>
    <w:rsid w:val="34F57E8E"/>
    <w:rsid w:val="35F74D3A"/>
    <w:rsid w:val="3617477B"/>
    <w:rsid w:val="3680056C"/>
    <w:rsid w:val="380D0CF6"/>
    <w:rsid w:val="387E21FF"/>
    <w:rsid w:val="39891269"/>
    <w:rsid w:val="399D2CD2"/>
    <w:rsid w:val="3A8406C7"/>
    <w:rsid w:val="3CBE0E54"/>
    <w:rsid w:val="3EA94B38"/>
    <w:rsid w:val="3F1F3112"/>
    <w:rsid w:val="3FC958FD"/>
    <w:rsid w:val="402C1486"/>
    <w:rsid w:val="410B177D"/>
    <w:rsid w:val="42147971"/>
    <w:rsid w:val="42F20403"/>
    <w:rsid w:val="43EE4A6D"/>
    <w:rsid w:val="4487005E"/>
    <w:rsid w:val="45C949C9"/>
    <w:rsid w:val="469B261D"/>
    <w:rsid w:val="46DC247F"/>
    <w:rsid w:val="46F70A33"/>
    <w:rsid w:val="496200DD"/>
    <w:rsid w:val="49A93F34"/>
    <w:rsid w:val="49FD4FD9"/>
    <w:rsid w:val="4B0F0947"/>
    <w:rsid w:val="4C241CEC"/>
    <w:rsid w:val="4D200F2C"/>
    <w:rsid w:val="4E667F44"/>
    <w:rsid w:val="50C44B2D"/>
    <w:rsid w:val="50EC0C3B"/>
    <w:rsid w:val="517F5A48"/>
    <w:rsid w:val="51A25BE9"/>
    <w:rsid w:val="52C1233D"/>
    <w:rsid w:val="53FD540C"/>
    <w:rsid w:val="54B009D3"/>
    <w:rsid w:val="58EA3C48"/>
    <w:rsid w:val="5B017815"/>
    <w:rsid w:val="5C3322DA"/>
    <w:rsid w:val="5EA366B8"/>
    <w:rsid w:val="60B151DC"/>
    <w:rsid w:val="61581961"/>
    <w:rsid w:val="61CF52E7"/>
    <w:rsid w:val="65374930"/>
    <w:rsid w:val="657952BA"/>
    <w:rsid w:val="67CA6AD6"/>
    <w:rsid w:val="6A7352E7"/>
    <w:rsid w:val="6D090752"/>
    <w:rsid w:val="6EDB35F4"/>
    <w:rsid w:val="6F500BEB"/>
    <w:rsid w:val="6FA45CEB"/>
    <w:rsid w:val="705114A2"/>
    <w:rsid w:val="74A51B4C"/>
    <w:rsid w:val="798B4769"/>
    <w:rsid w:val="7A721C88"/>
    <w:rsid w:val="7BD129DA"/>
    <w:rsid w:val="7C631677"/>
    <w:rsid w:val="7D9C4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jc w:val="center"/>
      <w:outlineLvl w:val="0"/>
    </w:pPr>
    <w:rPr>
      <w:b/>
      <w:kern w:val="44"/>
      <w:sz w:val="36"/>
      <w:szCs w:val="36"/>
    </w:rPr>
  </w:style>
  <w:style w:type="paragraph" w:styleId="5">
    <w:name w:val="heading 2"/>
    <w:basedOn w:val="1"/>
    <w:next w:val="1"/>
    <w:qFormat/>
    <w:uiPriority w:val="0"/>
    <w:pPr>
      <w:keepNext/>
      <w:keepLines/>
      <w:jc w:val="left"/>
      <w:outlineLvl w:val="1"/>
    </w:pPr>
    <w:rPr>
      <w:rFonts w:hAnsi="宋体"/>
      <w:b/>
      <w:sz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2"/>
    <w:next w:val="1"/>
    <w:unhideWhenUsed/>
    <w:qFormat/>
    <w:uiPriority w:val="99"/>
    <w:pPr>
      <w:ind w:firstLine="420" w:firstLineChars="100"/>
    </w:pPr>
  </w:style>
  <w:style w:type="paragraph" w:customStyle="1" w:styleId="12">
    <w:name w:val="_Style 3"/>
    <w:basedOn w:val="4"/>
    <w:next w:val="1"/>
    <w:qFormat/>
    <w:uiPriority w:val="0"/>
    <w:pPr>
      <w:keepLines w:val="0"/>
      <w:widowControl/>
      <w:spacing w:line="256" w:lineRule="auto"/>
      <w:jc w:val="left"/>
    </w:pPr>
    <w:rPr>
      <w:rFonts w:ascii="Calibri Light" w:hAnsi="Calibri Light"/>
      <w:color w:val="2E74B5"/>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2026-04-23T03:53:52Z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