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2F2F6">
      <w:pPr>
        <w:pStyle w:val="2"/>
        <w:keepNext w:val="0"/>
        <w:keepLines w:val="0"/>
        <w:shd w:val="clear" w:color="auto" w:fill="auto"/>
        <w:jc w:val="center"/>
        <w:outlineLvl w:val="1"/>
        <w:rPr>
          <w:rFonts w:hint="eastAsia" w:ascii="宋体" w:hAnsi="宋体" w:eastAsia="宋体" w:cs="宋体"/>
          <w:highlight w:val="none"/>
        </w:rPr>
      </w:pPr>
      <w:bookmarkStart w:id="0" w:name="_Toc21654"/>
      <w:bookmarkStart w:id="1" w:name="_Toc12244"/>
      <w:r>
        <w:rPr>
          <w:rFonts w:hint="eastAsia" w:ascii="宋体" w:hAnsi="宋体" w:eastAsia="宋体" w:cs="宋体"/>
          <w:sz w:val="32"/>
          <w:szCs w:val="32"/>
          <w:highlight w:val="none"/>
        </w:rPr>
        <w:t>合同范本（仅供参考）</w:t>
      </w:r>
      <w:bookmarkEnd w:id="0"/>
      <w:bookmarkEnd w:id="1"/>
    </w:p>
    <w:p w14:paraId="4DA71F9A">
      <w:pPr>
        <w:shd w:val="clear" w:color="auto" w:fill="auto"/>
        <w:jc w:val="center"/>
        <w:rPr>
          <w:rFonts w:hint="eastAsia" w:ascii="宋体" w:hAnsi="宋体" w:eastAsia="宋体" w:cs="宋体"/>
          <w:b/>
          <w:sz w:val="24"/>
          <w:highlight w:val="none"/>
        </w:rPr>
      </w:pPr>
      <w:r>
        <w:rPr>
          <w:rFonts w:hint="eastAsia" w:ascii="宋体" w:hAnsi="宋体" w:eastAsia="宋体" w:cs="宋体"/>
          <w:b/>
          <w:sz w:val="24"/>
          <w:highlight w:val="none"/>
        </w:rPr>
        <w:t>政府采购合同</w:t>
      </w:r>
    </w:p>
    <w:p w14:paraId="18D7B1DB">
      <w:pPr>
        <w:autoSpaceDE w:val="0"/>
        <w:autoSpaceDN w:val="0"/>
        <w:adjustRightInd w:val="0"/>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sz w:val="24"/>
          <w:highlight w:val="none"/>
          <w:u w:val="single"/>
          <w:lang w:val="en-US" w:eastAsia="zh-CN"/>
        </w:rPr>
        <w:t xml:space="preserve">         （项目名称）</w:t>
      </w:r>
      <w:r>
        <w:rPr>
          <w:rFonts w:hint="eastAsia" w:ascii="仿宋" w:hAnsi="仿宋" w:eastAsia="仿宋" w:cs="仿宋"/>
          <w:sz w:val="24"/>
          <w:highlight w:val="none"/>
        </w:rPr>
        <w:t>，在</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（以下简称甲方）的监督管理下，由</w:t>
      </w:r>
      <w:r>
        <w:rPr>
          <w:rFonts w:hint="eastAsia" w:ascii="仿宋" w:hAnsi="仿宋" w:eastAsia="仿宋" w:cs="仿宋"/>
          <w:sz w:val="24"/>
          <w:highlight w:val="none"/>
          <w:u w:val="single"/>
          <w:lang w:val="en-US" w:eastAsia="zh-CN"/>
        </w:rPr>
        <w:t xml:space="preserve">  （采购代理机构） </w:t>
      </w:r>
      <w:r>
        <w:rPr>
          <w:rFonts w:hint="eastAsia" w:ascii="仿宋" w:hAnsi="仿宋" w:eastAsia="仿宋" w:cs="仿宋"/>
          <w:sz w:val="24"/>
          <w:highlight w:val="none"/>
        </w:rPr>
        <w:t>组织采购，选定</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(以下简称乙方）为该项目成交供应商。依据《中华人民共和国民法典》和《中华人民共和国政府采购法》，经甲、乙双方共同协商，按下述条款和条件签署本合同</w:t>
      </w:r>
      <w:r>
        <w:rPr>
          <w:rFonts w:hint="eastAsia" w:ascii="仿宋" w:hAnsi="仿宋" w:eastAsia="仿宋" w:cs="仿宋"/>
          <w:bCs/>
          <w:sz w:val="24"/>
          <w:szCs w:val="24"/>
          <w:highlight w:val="none"/>
        </w:rPr>
        <w:t>。</w:t>
      </w:r>
    </w:p>
    <w:p w14:paraId="745392A6">
      <w:pPr>
        <w:autoSpaceDE w:val="0"/>
        <w:autoSpaceDN w:val="0"/>
        <w:adjustRightInd w:val="0"/>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bCs/>
          <w:sz w:val="24"/>
          <w:szCs w:val="24"/>
          <w:highlight w:val="none"/>
        </w:rPr>
        <w:t>依据《中华人民共和国</w:t>
      </w:r>
      <w:r>
        <w:rPr>
          <w:rFonts w:hint="eastAsia" w:ascii="仿宋" w:hAnsi="仿宋" w:eastAsia="仿宋" w:cs="仿宋"/>
          <w:bCs/>
          <w:sz w:val="24"/>
          <w:szCs w:val="24"/>
          <w:highlight w:val="none"/>
          <w:lang w:eastAsia="zh-CN"/>
        </w:rPr>
        <w:t>民法典</w:t>
      </w:r>
      <w:r>
        <w:rPr>
          <w:rFonts w:hint="eastAsia" w:ascii="仿宋" w:hAnsi="仿宋" w:eastAsia="仿宋" w:cs="仿宋"/>
          <w:bCs/>
          <w:sz w:val="24"/>
          <w:szCs w:val="24"/>
          <w:highlight w:val="none"/>
        </w:rPr>
        <w:t>》和《中华人民共和国政府采购法》，经双方协商按下述条款和条件签署本合同。</w:t>
      </w:r>
    </w:p>
    <w:p w14:paraId="19A3289A">
      <w:pPr>
        <w:pStyle w:val="8"/>
        <w:pageBreakBefore w:val="0"/>
        <w:widowControl w:val="0"/>
        <w:shd w:val="clear" w:color="auto" w:fill="auto"/>
        <w:kinsoku/>
        <w:wordWrap/>
        <w:overflowPunct/>
        <w:topLinePunct w:val="0"/>
        <w:autoSpaceDE/>
        <w:autoSpaceDN/>
        <w:bidi w:val="0"/>
        <w:adjustRightInd/>
        <w:snapToGrid/>
        <w:spacing w:before="156" w:after="156" w:line="500" w:lineRule="exact"/>
        <w:ind w:left="0" w:leftChars="0" w:firstLine="0" w:firstLineChars="0"/>
        <w:textAlignment w:val="auto"/>
        <w:outlineLvl w:val="1"/>
        <w:rPr>
          <w:rFonts w:hint="eastAsia" w:ascii="仿宋" w:hAnsi="仿宋" w:eastAsia="仿宋" w:cs="仿宋"/>
          <w:b/>
          <w:bCs w:val="0"/>
          <w:sz w:val="24"/>
          <w:szCs w:val="24"/>
          <w:highlight w:val="none"/>
        </w:rPr>
      </w:pPr>
      <w:r>
        <w:rPr>
          <w:rFonts w:hint="eastAsia" w:ascii="仿宋" w:hAnsi="仿宋" w:eastAsia="仿宋" w:cs="仿宋"/>
          <w:b/>
          <w:bCs w:val="0"/>
          <w:sz w:val="24"/>
          <w:szCs w:val="24"/>
          <w:highlight w:val="none"/>
        </w:rPr>
        <w:t>一、项目概况</w:t>
      </w:r>
    </w:p>
    <w:p w14:paraId="3A7D9DDA">
      <w:pPr>
        <w:pageBreakBefore w:val="0"/>
        <w:widowControl w:val="0"/>
        <w:shd w:val="clear" w:color="auto" w:fill="auto"/>
        <w:kinsoku/>
        <w:wordWrap/>
        <w:overflowPunct/>
        <w:topLinePunct w:val="0"/>
        <w:autoSpaceDE/>
        <w:autoSpaceDN/>
        <w:bidi w:val="0"/>
        <w:adjustRightInd/>
        <w:snapToGrid/>
        <w:spacing w:line="500" w:lineRule="exact"/>
        <w:ind w:firstLine="420"/>
        <w:textAlignment w:val="auto"/>
        <w:rPr>
          <w:rFonts w:hint="eastAsia" w:ascii="仿宋" w:hAnsi="仿宋" w:eastAsia="仿宋" w:cs="仿宋"/>
          <w:sz w:val="24"/>
          <w:szCs w:val="24"/>
          <w:highlight w:val="none"/>
          <w:lang w:val="en-US"/>
        </w:rPr>
      </w:pP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b w:val="0"/>
          <w:bCs/>
          <w:sz w:val="24"/>
          <w:szCs w:val="24"/>
          <w:highlight w:val="none"/>
          <w:u w:val="single"/>
          <w:lang w:val="en-US" w:eastAsia="zh-CN"/>
        </w:rPr>
        <w:t xml:space="preserve">                         </w:t>
      </w:r>
    </w:p>
    <w:p w14:paraId="1CC8A52C">
      <w:pPr>
        <w:pageBreakBefore w:val="0"/>
        <w:widowControl w:val="0"/>
        <w:shd w:val="clear" w:color="auto" w:fill="auto"/>
        <w:kinsoku/>
        <w:wordWrap/>
        <w:overflowPunct/>
        <w:topLinePunct w:val="0"/>
        <w:autoSpaceDE/>
        <w:autoSpaceDN/>
        <w:bidi w:val="0"/>
        <w:adjustRightInd/>
        <w:snapToGrid/>
        <w:spacing w:line="500" w:lineRule="exact"/>
        <w:ind w:firstLine="420"/>
        <w:textAlignment w:val="auto"/>
        <w:rPr>
          <w:rFonts w:hint="eastAsia" w:ascii="仿宋" w:hAnsi="仿宋" w:eastAsia="仿宋" w:cs="仿宋"/>
          <w:b w:val="0"/>
          <w:bCs/>
          <w:color w:val="FFFFFF"/>
          <w:sz w:val="24"/>
          <w:szCs w:val="24"/>
          <w:highlight w:val="none"/>
          <w:u w:val="single"/>
          <w:lang w:val="en-US" w:eastAsia="zh-CN"/>
        </w:rPr>
      </w:pPr>
      <w:r>
        <w:rPr>
          <w:rFonts w:hint="eastAsia" w:ascii="仿宋" w:hAnsi="仿宋" w:eastAsia="仿宋" w:cs="仿宋"/>
          <w:sz w:val="24"/>
          <w:szCs w:val="24"/>
          <w:highlight w:val="none"/>
          <w:lang w:val="en-US" w:eastAsia="zh-CN"/>
        </w:rPr>
        <w:t>项目编号</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b w:val="0"/>
          <w:bCs/>
          <w:sz w:val="24"/>
          <w:szCs w:val="24"/>
          <w:highlight w:val="none"/>
          <w:u w:val="single"/>
          <w:lang w:val="en-US" w:eastAsia="zh-CN"/>
        </w:rPr>
        <w:t xml:space="preserve">                         </w:t>
      </w:r>
    </w:p>
    <w:p w14:paraId="0B89844C">
      <w:pPr>
        <w:pageBreakBefore w:val="0"/>
        <w:widowControl w:val="0"/>
        <w:shd w:val="clear" w:color="auto" w:fill="auto"/>
        <w:kinsoku/>
        <w:wordWrap/>
        <w:overflowPunct/>
        <w:topLinePunct w:val="0"/>
        <w:autoSpaceDE/>
        <w:autoSpaceDN/>
        <w:bidi w:val="0"/>
        <w:adjustRightInd/>
        <w:snapToGrid/>
        <w:spacing w:line="500" w:lineRule="exact"/>
        <w:ind w:firstLine="420"/>
        <w:textAlignment w:val="auto"/>
        <w:rPr>
          <w:rFonts w:hint="eastAsia" w:ascii="仿宋" w:hAnsi="仿宋" w:eastAsia="仿宋" w:cs="仿宋"/>
          <w:b/>
          <w:sz w:val="24"/>
          <w:szCs w:val="24"/>
          <w:highlight w:val="none"/>
        </w:rPr>
      </w:pPr>
      <w:r>
        <w:rPr>
          <w:rFonts w:hint="eastAsia" w:ascii="仿宋" w:hAnsi="仿宋" w:eastAsia="仿宋" w:cs="仿宋"/>
          <w:sz w:val="24"/>
          <w:szCs w:val="24"/>
          <w:highlight w:val="none"/>
          <w:lang w:val="en-US" w:eastAsia="zh-CN"/>
        </w:rPr>
        <w:t>项目地点</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b w:val="0"/>
          <w:bCs/>
          <w:sz w:val="24"/>
          <w:szCs w:val="24"/>
          <w:highlight w:val="none"/>
          <w:u w:val="single"/>
          <w:lang w:val="en-US" w:eastAsia="zh-CN"/>
        </w:rPr>
        <w:t xml:space="preserve">                         </w:t>
      </w:r>
    </w:p>
    <w:p w14:paraId="6407D455">
      <w:pPr>
        <w:keepNext w:val="0"/>
        <w:keepLines w:val="0"/>
        <w:pageBreakBefore w:val="0"/>
        <w:widowControl/>
        <w:kinsoku/>
        <w:overflowPunct/>
        <w:topLinePunct w:val="0"/>
        <w:autoSpaceDE/>
        <w:autoSpaceDN/>
        <w:bidi w:val="0"/>
        <w:adjustRightInd/>
        <w:snapToGrid/>
        <w:spacing w:line="360" w:lineRule="auto"/>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二、合同价款</w:t>
      </w:r>
    </w:p>
    <w:p w14:paraId="77FAC52A">
      <w:pPr>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本项目采用单价合同。</w:t>
      </w:r>
      <w:r>
        <w:rPr>
          <w:rFonts w:hint="eastAsia" w:ascii="仿宋" w:hAnsi="仿宋" w:eastAsia="仿宋" w:cs="仿宋"/>
          <w:sz w:val="24"/>
          <w:szCs w:val="24"/>
          <w:highlight w:val="none"/>
          <w:lang w:val="en-US" w:eastAsia="zh-CN"/>
        </w:rPr>
        <w:t>本项目采用单价合同。结算时按照维保事项及其成交单价，以实际产生的费用来据实结算。</w:t>
      </w:r>
      <w:r>
        <w:rPr>
          <w:rFonts w:hint="eastAsia" w:ascii="仿宋" w:hAnsi="仿宋" w:eastAsia="仿宋" w:cs="仿宋"/>
          <w:sz w:val="24"/>
          <w:szCs w:val="24"/>
          <w:highlight w:val="none"/>
        </w:rPr>
        <w:t>累计结算总额不超过本项目采购预算。</w:t>
      </w:r>
    </w:p>
    <w:p w14:paraId="198CE47E">
      <w:pPr>
        <w:spacing w:line="360" w:lineRule="auto"/>
        <w:rPr>
          <w:rFonts w:hint="eastAsia" w:ascii="仿宋" w:hAnsi="仿宋" w:eastAsia="仿宋" w:cs="仿宋"/>
          <w:b/>
          <w:bCs/>
          <w:sz w:val="24"/>
          <w:szCs w:val="24"/>
          <w:highlight w:val="none"/>
          <w:lang w:val="zh-CN" w:eastAsia="zh-CN"/>
        </w:rPr>
      </w:pPr>
      <w:r>
        <w:rPr>
          <w:rFonts w:hint="eastAsia" w:ascii="仿宋" w:hAnsi="仿宋" w:eastAsia="仿宋" w:cs="仿宋"/>
          <w:b/>
          <w:bCs/>
          <w:sz w:val="24"/>
          <w:szCs w:val="24"/>
          <w:highlight w:val="none"/>
          <w:lang w:val="en-US" w:eastAsia="zh-CN"/>
        </w:rPr>
        <w:t>三</w:t>
      </w:r>
      <w:r>
        <w:rPr>
          <w:rFonts w:hint="eastAsia" w:ascii="仿宋" w:hAnsi="仿宋" w:eastAsia="仿宋" w:cs="仿宋"/>
          <w:b/>
          <w:bCs/>
          <w:sz w:val="24"/>
          <w:szCs w:val="24"/>
          <w:highlight w:val="none"/>
          <w:lang w:val="zh-CN"/>
        </w:rPr>
        <w:t>、</w:t>
      </w:r>
      <w:r>
        <w:rPr>
          <w:rFonts w:hint="eastAsia" w:ascii="仿宋" w:hAnsi="仿宋" w:eastAsia="仿宋" w:cs="仿宋"/>
          <w:b/>
          <w:bCs/>
          <w:sz w:val="22"/>
          <w:szCs w:val="22"/>
          <w:highlight w:val="none"/>
        </w:rPr>
        <w:t>合同的</w:t>
      </w:r>
      <w:r>
        <w:rPr>
          <w:rFonts w:hint="eastAsia" w:ascii="仿宋" w:hAnsi="仿宋" w:eastAsia="仿宋" w:cs="仿宋"/>
          <w:b/>
          <w:bCs/>
          <w:sz w:val="22"/>
          <w:szCs w:val="22"/>
          <w:highlight w:val="none"/>
          <w:lang w:val="en-US" w:eastAsia="zh-CN"/>
        </w:rPr>
        <w:t>构成</w:t>
      </w:r>
    </w:p>
    <w:p w14:paraId="18018458">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（一）合同条款</w:t>
      </w:r>
    </w:p>
    <w:p w14:paraId="5F02F1DD">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（二）合同条款附件</w:t>
      </w:r>
    </w:p>
    <w:p w14:paraId="24E3B5E8">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附件1—服务内容与说明</w:t>
      </w:r>
    </w:p>
    <w:p w14:paraId="66D41758">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附件2—服务方案</w:t>
      </w:r>
    </w:p>
    <w:p w14:paraId="761D1232">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（三）</w:t>
      </w:r>
      <w:r>
        <w:rPr>
          <w:rFonts w:hint="eastAsia" w:ascii="仿宋" w:hAnsi="仿宋" w:eastAsia="仿宋" w:cs="仿宋"/>
          <w:sz w:val="24"/>
          <w:szCs w:val="24"/>
          <w:highlight w:val="none"/>
          <w:lang w:val="en-US" w:eastAsia="zh-CN"/>
        </w:rPr>
        <w:t>成交</w:t>
      </w:r>
      <w:r>
        <w:rPr>
          <w:rFonts w:hint="eastAsia" w:ascii="仿宋" w:hAnsi="仿宋" w:eastAsia="仿宋" w:cs="仿宋"/>
          <w:sz w:val="24"/>
          <w:szCs w:val="24"/>
          <w:highlight w:val="none"/>
          <w:lang w:val="zh-CN"/>
        </w:rPr>
        <w:t>通知书</w:t>
      </w:r>
    </w:p>
    <w:p w14:paraId="2033C0DD">
      <w:pPr>
        <w:spacing w:line="360" w:lineRule="auto"/>
        <w:ind w:firstLine="480" w:firstLineChars="200"/>
        <w:rPr>
          <w:rFonts w:hint="eastAsia" w:ascii="仿宋" w:hAnsi="仿宋" w:eastAsia="仿宋" w:cs="仿宋"/>
          <w:sz w:val="24"/>
          <w:szCs w:val="24"/>
          <w:highlight w:val="none"/>
          <w:lang w:val="zh-CN" w:eastAsia="zh-CN"/>
        </w:rPr>
      </w:pPr>
      <w:r>
        <w:rPr>
          <w:rFonts w:hint="eastAsia" w:ascii="仿宋" w:hAnsi="仿宋" w:eastAsia="仿宋" w:cs="仿宋"/>
          <w:sz w:val="24"/>
          <w:szCs w:val="24"/>
          <w:highlight w:val="none"/>
          <w:lang w:val="zh-CN"/>
        </w:rPr>
        <w:t>（四）</w:t>
      </w:r>
      <w:r>
        <w:rPr>
          <w:rFonts w:hint="eastAsia" w:ascii="仿宋" w:hAnsi="仿宋" w:eastAsia="仿宋" w:cs="仿宋"/>
          <w:sz w:val="24"/>
          <w:szCs w:val="24"/>
          <w:highlight w:val="none"/>
          <w:lang w:val="en-US" w:eastAsia="zh-CN"/>
        </w:rPr>
        <w:t>磋商</w:t>
      </w:r>
      <w:r>
        <w:rPr>
          <w:rFonts w:hint="eastAsia" w:ascii="仿宋" w:hAnsi="仿宋" w:eastAsia="仿宋" w:cs="仿宋"/>
          <w:sz w:val="24"/>
          <w:szCs w:val="24"/>
          <w:highlight w:val="none"/>
          <w:lang w:val="zh-CN" w:eastAsia="zh-CN"/>
        </w:rPr>
        <w:t>文件</w:t>
      </w:r>
    </w:p>
    <w:p w14:paraId="3A0B6636">
      <w:pPr>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lang w:val="zh-CN"/>
        </w:rPr>
        <w:t>（五）</w:t>
      </w: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lang w:val="zh-CN" w:eastAsia="zh-CN"/>
        </w:rPr>
        <w:t>文件</w:t>
      </w:r>
    </w:p>
    <w:p w14:paraId="6663D72A">
      <w:pPr>
        <w:keepNext w:val="0"/>
        <w:keepLines w:val="0"/>
        <w:pageBreakBefore w:val="0"/>
        <w:widowControl/>
        <w:kinsoku/>
        <w:overflowPunct/>
        <w:topLinePunct w:val="0"/>
        <w:autoSpaceDE/>
        <w:autoSpaceDN/>
        <w:bidi w:val="0"/>
        <w:adjustRightInd/>
        <w:snapToGrid/>
        <w:spacing w:line="360" w:lineRule="auto"/>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四</w:t>
      </w:r>
      <w:r>
        <w:rPr>
          <w:rFonts w:hint="eastAsia" w:ascii="仿宋" w:hAnsi="仿宋" w:eastAsia="仿宋" w:cs="仿宋"/>
          <w:b/>
          <w:sz w:val="24"/>
          <w:szCs w:val="24"/>
          <w:highlight w:val="none"/>
        </w:rPr>
        <w:t>、款项结算</w:t>
      </w:r>
    </w:p>
    <w:p w14:paraId="3D21BE20">
      <w:pPr>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（一）</w:t>
      </w:r>
      <w:r>
        <w:rPr>
          <w:rFonts w:hint="eastAsia" w:ascii="仿宋" w:hAnsi="仿宋" w:eastAsia="仿宋" w:cs="仿宋"/>
          <w:sz w:val="24"/>
          <w:szCs w:val="24"/>
          <w:highlight w:val="none"/>
          <w:lang w:val="en-US" w:eastAsia="zh-CN"/>
        </w:rPr>
        <w:t>合同款项支付</w:t>
      </w:r>
    </w:p>
    <w:p w14:paraId="10839142">
      <w:pPr>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合同签订后，甲方收到增值税普通发票后，达到付款条件起30日内，支付合同总金额的50.00%。</w:t>
      </w:r>
    </w:p>
    <w:p w14:paraId="201547E3">
      <w:pPr>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两台设备及辅助设备维保结束并经甲方验收合格后，双方核对项目清单。乙方按合同约定开具发票，甲方收到增值税普通发票后，达到付款条件起10日内，支付合同总金额的50.00%。</w:t>
      </w:r>
    </w:p>
    <w:p w14:paraId="6C25F0BB">
      <w:pPr>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rPr>
        <w:t>）支付方式：银行转账。</w:t>
      </w:r>
    </w:p>
    <w:p w14:paraId="624E54CF">
      <w:pPr>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三</w:t>
      </w:r>
      <w:r>
        <w:rPr>
          <w:rFonts w:hint="eastAsia" w:ascii="仿宋" w:hAnsi="仿宋" w:eastAsia="仿宋" w:cs="仿宋"/>
          <w:sz w:val="24"/>
          <w:szCs w:val="24"/>
          <w:highlight w:val="none"/>
        </w:rPr>
        <w:t>）结算方式：验收合格后填写政府采购项目验收单（一式伍份），</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持成交通知书、服务合同、正式发票、政府采购项目验收单，与采购人结算。</w:t>
      </w:r>
    </w:p>
    <w:p w14:paraId="6F43FCFE">
      <w:pPr>
        <w:keepNext w:val="0"/>
        <w:keepLines w:val="0"/>
        <w:pageBreakBefore w:val="0"/>
        <w:widowControl/>
        <w:kinsoku/>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sz w:val="24"/>
          <w:szCs w:val="24"/>
          <w:highlight w:val="none"/>
          <w:lang w:val="en-US" w:eastAsia="zh-CN"/>
        </w:rPr>
        <w:t>五</w:t>
      </w:r>
      <w:r>
        <w:rPr>
          <w:rFonts w:hint="eastAsia" w:ascii="仿宋" w:hAnsi="仿宋" w:eastAsia="仿宋" w:cs="仿宋"/>
          <w:b/>
          <w:sz w:val="24"/>
          <w:szCs w:val="24"/>
          <w:highlight w:val="none"/>
        </w:rPr>
        <w:t>、</w:t>
      </w:r>
      <w:r>
        <w:rPr>
          <w:rFonts w:hint="eastAsia" w:ascii="仿宋" w:hAnsi="仿宋" w:eastAsia="仿宋" w:cs="仿宋"/>
          <w:b/>
          <w:color w:val="auto"/>
          <w:sz w:val="24"/>
          <w:szCs w:val="24"/>
          <w:highlight w:val="none"/>
        </w:rPr>
        <w:t>服务</w:t>
      </w:r>
      <w:r>
        <w:rPr>
          <w:rFonts w:hint="eastAsia" w:ascii="仿宋" w:hAnsi="仿宋" w:eastAsia="仿宋" w:cs="仿宋"/>
          <w:b/>
          <w:color w:val="auto"/>
          <w:sz w:val="24"/>
          <w:szCs w:val="24"/>
          <w:highlight w:val="none"/>
          <w:lang w:val="en-US" w:eastAsia="zh-CN"/>
        </w:rPr>
        <w:t>内容</w:t>
      </w:r>
    </w:p>
    <w:p w14:paraId="30D6CBEE">
      <w:pPr>
        <w:keepNext w:val="0"/>
        <w:keepLines w:val="0"/>
        <w:pageBreakBefore w:val="0"/>
        <w:widowControl/>
        <w:kinsoku/>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（一）机械部分</w:t>
      </w:r>
    </w:p>
    <w:p w14:paraId="6BF844A1">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维护要求：</w:t>
      </w:r>
    </w:p>
    <w:p w14:paraId="6C74B7D5">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主、副压装机的机头、机械装置、连杆导向机构、支架滚轮、轴销、轴套、轴承、固定支架、油缸、机械差速器、泵阀等必须分解检查。对磨损但可恢复使用的机件进行修理；磨损过甚或损坏严重的机械装置及零配件必须更换，确保达到运行标准。</w:t>
      </w:r>
    </w:p>
    <w:p w14:paraId="4F0E8569">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清理锈斑，紧固各部件，调整注油润滑。检查黄油嘴、油路铜管、油管固定卡子、接头、软管、油路分路器等，确保油路畅通、无泄漏、无堵塞。更换老化或损坏的油嘴、铜管、软管、垫子、油分路器、接头等部件。注油嘴需注满油，液体润滑机械装置的油箱、油池按要求添满油，差速器分解维修后加入高温润滑脂。</w:t>
      </w:r>
    </w:p>
    <w:p w14:paraId="30022797">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3.对脱焊、开裂部位及磨损的轴件进行补焊，去除毛刺，打磨平整，恢复原有状态。</w:t>
      </w:r>
    </w:p>
    <w:p w14:paraId="53673F8F">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4.对机件上漆皮脱落部位进行补漆。</w:t>
      </w:r>
    </w:p>
    <w:p w14:paraId="598D0585">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5.更换各运动部位机件上的摩擦板、型条板、导向板、规圆板。摩擦板材料需为四氟碳耐磨板，严格按照原规格加工，确保结合处紧密、牢固、平整，固定螺丝需进行防腐处理。更换行吊老化的钢丝绳。</w:t>
      </w:r>
    </w:p>
    <w:p w14:paraId="7D3C3F7A">
      <w:pPr>
        <w:keepNext w:val="0"/>
        <w:keepLines w:val="0"/>
        <w:pageBreakBefore w:val="0"/>
        <w:widowControl/>
        <w:kinsoku/>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（二）液压部分</w:t>
      </w:r>
    </w:p>
    <w:p w14:paraId="27711E91">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维护要求：</w:t>
      </w:r>
    </w:p>
    <w:p w14:paraId="6DED0FAE">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1.检查液压系统各部位工作是否正常。</w:t>
      </w:r>
    </w:p>
    <w:p w14:paraId="7490AA5E">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2.检查油泵、电机、多路阀、换向阀、单向阀、油缸及固定支架是否牢固，检查油管有无泄漏，油泵出油压力是否达标，自动排气阀及调整阀是否工作正常。</w:t>
      </w:r>
    </w:p>
    <w:p w14:paraId="067B47F7">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3.更换进油及回油过滤器，更换损坏的油缸密封圈、密封垫、油缸密封盖等。</w:t>
      </w:r>
    </w:p>
    <w:p w14:paraId="1F192AE7">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4.清洗油箱，更换液压油（抗磨四季32#液压油），更换控制蝶阀。</w:t>
      </w:r>
    </w:p>
    <w:p w14:paraId="0350E2CB">
      <w:pPr>
        <w:keepNext w:val="0"/>
        <w:keepLines w:val="0"/>
        <w:pageBreakBefore w:val="0"/>
        <w:widowControl/>
        <w:kinsoku/>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（三）电控系统</w:t>
      </w:r>
    </w:p>
    <w:p w14:paraId="61C7E330">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维护要求：</w:t>
      </w:r>
    </w:p>
    <w:p w14:paraId="14AA7BD5">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1.检查配电室变压器、高低压配电柜及工作指示灯开关是否正常。检查高低压电表、功率因素表工作是否正常。</w:t>
      </w:r>
    </w:p>
    <w:p w14:paraId="062974DF">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2.检查二次供电设备（柴油发电机），检查水泵、皮带、软管有无裂痕、松动，检查发电机运转是否正常，更换柴机油、防冻液、空气滤清器、机油滤清器、老化的皮带和软管。</w:t>
      </w:r>
    </w:p>
    <w:p w14:paraId="38B30254">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检查发电机组控制开关、切换开关、子仪表接收信号是否正常。检查各类电机功率、转速、运转是否正常，是否存在异声。检查设备控制柜、小配电箱内电器是否完好，运行是否正常。检查红外线传感器、接近开关、限位开关、测重传感器是否工作正常，接线盒内接线端子、信号线、电缆是否完好，及时更换老化部件。</w:t>
      </w:r>
    </w:p>
    <w:p w14:paraId="6D003DA2">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4.确认显示屏功能齐全且正常，PLC编程程序信号显示工作条件满足，准确无误。</w:t>
      </w:r>
    </w:p>
    <w:p w14:paraId="4DAF139A">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5.对各类配电柜、小配电箱箱体除锈补漆，修补老化箱体，损坏严重的需更换。</w:t>
      </w:r>
    </w:p>
    <w:p w14:paraId="7F05477D">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6.更换高杆灯老化的射灯、电线、保险、空开、变压器、触发器、高压钠灯、照明灯、线管、接线鼻子等。检查压装车间内所有地沟电缆是否完好，对老化部位进行更换。</w:t>
      </w:r>
    </w:p>
    <w:p w14:paraId="703D5483">
      <w:pPr>
        <w:keepNext w:val="0"/>
        <w:keepLines w:val="0"/>
        <w:pageBreakBefore w:val="0"/>
        <w:widowControl/>
        <w:kinsoku/>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bCs/>
          <w:color w:val="auto"/>
          <w:sz w:val="24"/>
          <w:szCs w:val="24"/>
          <w:highlight w:val="none"/>
        </w:rPr>
        <w:t>）脉冲布袋除尘系统：</w:t>
      </w:r>
    </w:p>
    <w:p w14:paraId="5694DB91">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主要维护范围：对全部除尘袋进行更换，电磁阀、脉冲阀、收尘管道辅机设备进行维护保养、易损件更换等。</w:t>
      </w:r>
    </w:p>
    <w:p w14:paraId="19E11910">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维护要求：</w:t>
      </w:r>
    </w:p>
    <w:p w14:paraId="1DBC72A9">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1.除尘器布袋拆除576条、安装576条，布袋规格为133X2400（mm），必须满足防潮、防爆、防静电加PTFE覆膜要求，更换后除尘系统有组织气体排放检测符合国家标准，全年排放达标率大于95%以上。</w:t>
      </w:r>
    </w:p>
    <w:p w14:paraId="11855F42">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2.除尘器电磁阀更换6个、气路维护。</w:t>
      </w:r>
    </w:p>
    <w:p w14:paraId="6FD6415C">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3.检查清理除尘器、粉尘风管（800×25米）内部积尘及漏气情况。</w:t>
      </w:r>
    </w:p>
    <w:p w14:paraId="3F17524C">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检查保养电机、风机轴承，检查机械连杆机构是否松动或有异声，修复或更换问题部件。</w:t>
      </w:r>
    </w:p>
    <w:p w14:paraId="36EB38F3">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检查吸风口过滤网、进气切换门、排气阀门、风管有无漏气，检查除尘袋过滤是否良好，出灰机运转是否正常，过桥轴承、轴、卷刀是否完好，修复或更换问题部件。</w:t>
      </w:r>
    </w:p>
    <w:p w14:paraId="6BC0A909">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检查压缩机压力调节是否正常，电机有无异声，脉冲电子阀、排气风门开启是否自如。</w:t>
      </w:r>
    </w:p>
    <w:p w14:paraId="4AA09EBD">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检查水、油分离器，排除储气罐积水。</w:t>
      </w:r>
    </w:p>
    <w:p w14:paraId="7CE367E1">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4.更换收尘罩喷吹系统气阀、排气阀，检修气缸。</w:t>
      </w:r>
    </w:p>
    <w:p w14:paraId="1F13D91D">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5.检查并调节收尘口导向板阀。</w:t>
      </w:r>
    </w:p>
    <w:p w14:paraId="041D299F">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6.检查螺旋电机输送机的输送轴头部、尾部轴承、中间吊轴承总成，拆除更换，校正加固输送主轴联接轴。</w:t>
      </w:r>
    </w:p>
    <w:p w14:paraId="2654A04D">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7.拆除300×1.5米钢性叶轮给料机内部叶轮，进行维护保养。</w:t>
      </w:r>
    </w:p>
    <w:p w14:paraId="19F0B07A">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清理除尘器积灰斗内部夹角积尘，调节喷吹提升阀。</w:t>
      </w:r>
    </w:p>
    <w:p w14:paraId="6B4CC73B">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8.更换完毕，对排放气体进行检测，确保符合排放标准。</w:t>
      </w:r>
    </w:p>
    <w:p w14:paraId="1F466358">
      <w:pPr>
        <w:keepNext w:val="0"/>
        <w:keepLines w:val="0"/>
        <w:pageBreakBefore w:val="0"/>
        <w:widowControl/>
        <w:kinsoku/>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（五</w:t>
      </w:r>
      <w:r>
        <w:rPr>
          <w:rFonts w:hint="eastAsia" w:ascii="仿宋" w:hAnsi="仿宋" w:eastAsia="仿宋" w:cs="仿宋"/>
          <w:b/>
          <w:bCs/>
          <w:color w:val="auto"/>
          <w:sz w:val="24"/>
          <w:szCs w:val="24"/>
          <w:highlight w:val="none"/>
        </w:rPr>
        <w:t>）喷淋除臭系统</w:t>
      </w:r>
    </w:p>
    <w:p w14:paraId="7FFE777F">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主要维护范围：对整个喷洒除臭系统设备（包括主机、喷嘴和输液管路），提供全年维修维护，零备件包含喷嘴、输液管路、及管路连接件由乙方免费提供。</w:t>
      </w:r>
    </w:p>
    <w:p w14:paraId="57F5EA57">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维护要求：</w:t>
      </w:r>
    </w:p>
    <w:p w14:paraId="57EF2CF9">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1.日常运行中，维修方接通知后24小时内安排人员维修设备。</w:t>
      </w:r>
    </w:p>
    <w:p w14:paraId="230AE034">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每月对喷洒除臭系统设备（包括主机、喷嘴和输液管路）进行例行检查、保养维护一次，发现问题及时处理，并做好维修维护记录。</w:t>
      </w:r>
    </w:p>
    <w:p w14:paraId="52958A0E">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检查药物喷淋系统药物箱、水箱是否完好，高压泵阀开启是否自如，喷头是否良好。</w:t>
      </w:r>
    </w:p>
    <w:p w14:paraId="27079D85">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检查除臭设备分水隔离档、灰尘过滤卷帘是否正常，清洗或更换卷帘，确认卷帘定时器准确无误。</w:t>
      </w:r>
    </w:p>
    <w:p w14:paraId="49103265">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2.在设备正常运行期间，确保除臭效果达到国家标准。</w:t>
      </w:r>
    </w:p>
    <w:p w14:paraId="7F290CAB">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3.维修方在维修维护过程中，必须严格按照操作程序施工，做好安全保护工作。因维修方操作不当损坏设备的，需照价赔偿；因安全保护不到位或其他原因造成人员安全事故的，由维修方承担全部责任。</w:t>
      </w:r>
    </w:p>
    <w:p w14:paraId="6D1B3134">
      <w:pPr>
        <w:keepNext w:val="0"/>
        <w:keepLines w:val="0"/>
        <w:pageBreakBefore w:val="0"/>
        <w:widowControl/>
        <w:kinsoku/>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rPr>
        <w:t>）监控系统</w:t>
      </w:r>
    </w:p>
    <w:p w14:paraId="256FC43D">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主要维护范围：对全站两套监控系统设备（一路18个摄像头、二路30个摄像头）进行维护、维修，确保监控系统正常工作。</w:t>
      </w:r>
    </w:p>
    <w:p w14:paraId="463A85D3">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维护要求：</w:t>
      </w:r>
    </w:p>
    <w:p w14:paraId="48FA082B">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1.紧急故障时，维修方需随叫随到，接报修后24小时内免费修复。重大故障无法在规定时间内修复的，维修方应在规定时间内免费提供备机使用，并在72小时内修复。</w:t>
      </w:r>
    </w:p>
    <w:p w14:paraId="7FEC3A00">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维修方接报时应及时填写维保确认单，注明报修人、接报人、报修人联系电话、报修设备地点、接报时间。维修工作完成后，应在服务确认单上注明到达现场时间、修复项目及时间、场地清理情况，并请报修人签字确认。</w:t>
      </w:r>
    </w:p>
    <w:p w14:paraId="40CD885A">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3.每月对视频监控系统设备进行例行检查、保养维护一次，发现问题及时处理，并做好维修维护记录。</w:t>
      </w:r>
    </w:p>
    <w:p w14:paraId="65AB1DFC">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4.若需更换损坏配件，需经设备部同意并确认后另行购买，费用由使用方负责。</w:t>
      </w:r>
    </w:p>
    <w:p w14:paraId="07C187B1">
      <w:pPr>
        <w:keepNext w:val="0"/>
        <w:keepLines w:val="0"/>
        <w:pageBreakBefore w:val="0"/>
        <w:widowControl/>
        <w:kinsoku/>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（七）危废处理要求</w:t>
      </w:r>
    </w:p>
    <w:p w14:paraId="0D9B08FF">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1.甲方小型空气压缩机设备乙方拉回单位维修保养，产生的危废物由乙方进行收集到危废库房集中保管</w:t>
      </w:r>
    </w:p>
    <w:p w14:paraId="152CA85D">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2.清洗时产生的废油、含油污的手套、棉纱等废弃物，由乙方用密闭容器拉回乙方危废库房集中保管。</w:t>
      </w:r>
    </w:p>
    <w:p w14:paraId="14EE9379">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3.产生的危废物乙方交于有资质的公司按照危废处理标准执行。</w:t>
      </w:r>
    </w:p>
    <w:p w14:paraId="4823038B">
      <w:pPr>
        <w:keepNext w:val="0"/>
        <w:keepLines w:val="0"/>
        <w:pageBreakBefore w:val="0"/>
        <w:widowControl/>
        <w:kinsoku/>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rPr>
        <w:t>、验收</w:t>
      </w:r>
    </w:p>
    <w:p w14:paraId="478D675E">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服务期满后，甲方对本项目的实施情况进行验收，确认服务标准和服务方式是否达到采购要求（必要时采购人可委托技术专家对项目进行验收）。验收合格后，填写政府采购项目验收单（一式伍份）作为对项目的最终认可。</w:t>
      </w:r>
    </w:p>
    <w:p w14:paraId="3C3C0F1F">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（二）验收依据</w:t>
      </w:r>
    </w:p>
    <w:p w14:paraId="0ABCBB2D">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磋商文件、响应文件、澄清表（函）；</w:t>
      </w:r>
    </w:p>
    <w:p w14:paraId="184B4030">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本合同及附件文本；</w:t>
      </w:r>
    </w:p>
    <w:p w14:paraId="1CE52217">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合同签订时国家及行业现行的标准和技术规范。</w:t>
      </w:r>
    </w:p>
    <w:p w14:paraId="4E224BBB">
      <w:pPr>
        <w:keepNext w:val="0"/>
        <w:keepLines w:val="0"/>
        <w:pageBreakBefore w:val="0"/>
        <w:widowControl/>
        <w:kinsoku/>
        <w:overflowPunct/>
        <w:topLinePunct w:val="0"/>
        <w:autoSpaceDE/>
        <w:autoSpaceDN/>
        <w:bidi w:val="0"/>
        <w:adjustRightInd/>
        <w:snapToGrid/>
        <w:spacing w:line="360" w:lineRule="auto"/>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七</w:t>
      </w:r>
      <w:r>
        <w:rPr>
          <w:rFonts w:hint="eastAsia" w:ascii="仿宋" w:hAnsi="仿宋" w:eastAsia="仿宋" w:cs="仿宋"/>
          <w:b/>
          <w:sz w:val="24"/>
          <w:szCs w:val="24"/>
          <w:highlight w:val="none"/>
        </w:rPr>
        <w:t>、权利和义务</w:t>
      </w:r>
    </w:p>
    <w:p w14:paraId="3D0BEEFB">
      <w:pPr>
        <w:keepNext w:val="0"/>
        <w:keepLines w:val="0"/>
        <w:pageBreakBefore w:val="0"/>
        <w:widowControl/>
        <w:kinsoku/>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color w:val="auto"/>
          <w:sz w:val="24"/>
          <w:szCs w:val="24"/>
          <w:highlight w:val="none"/>
        </w:rPr>
        <w:t>一）甲方权利义务</w:t>
      </w:r>
    </w:p>
    <w:p w14:paraId="465C4323">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甲方有权对送交乙方维修、保养的保修质量、进度进行监督与管理，对乙方因服务态度、修理质量、配件质量等影响甲方正常使用的，甲方有权拒绝付费或扣罚费用，乙方应立即予以改进。</w:t>
      </w:r>
    </w:p>
    <w:p w14:paraId="4E8D46B3">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甲方有权监督乙方是否建立、健全各种作业规范、安全操作规程、文明生产等规章制度。如甲方发现乙方有不按规范操作、零部件组装过程清洁不达标、车辆竣工后卫生状况差等情况，甲方有权拒绝付费或扣罚费用，乙方应立即予以改进。</w:t>
      </w:r>
    </w:p>
    <w:p w14:paraId="0F3EFAD7">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甲方应按照合同规定，按时足额向乙方缴纳本合同项下的服务费及其它应付费用。</w:t>
      </w:r>
    </w:p>
    <w:p w14:paraId="5B5F55C5">
      <w:pPr>
        <w:keepNext w:val="0"/>
        <w:keepLines w:val="0"/>
        <w:pageBreakBefore w:val="0"/>
        <w:widowControl/>
        <w:kinsoku/>
        <w:overflowPunct/>
        <w:topLinePunct w:val="0"/>
        <w:autoSpaceDE/>
        <w:autoSpaceDN/>
        <w:bidi w:val="0"/>
        <w:adjustRightInd/>
        <w:snapToGrid/>
        <w:spacing w:line="360" w:lineRule="auto"/>
        <w:ind w:firstLine="482" w:firstLineChars="200"/>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（二）乙方权利义务</w:t>
      </w:r>
    </w:p>
    <w:p w14:paraId="67E77BE4">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有权要求甲方按规定支付经双方确认的维修、保养费用；</w:t>
      </w:r>
    </w:p>
    <w:p w14:paraId="35123180">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乙方应严格按照技术规范或国家、厂家有关技术标准、作业规范进行维修、保养作业，并严格执行质量标准和“三检”制度，做到文明作业、安全作业；</w:t>
      </w:r>
    </w:p>
    <w:p w14:paraId="3D5F6DF3">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乙方不得干涉甲方对维修、保养过程进行监督，并对甲方提出的服务态度、修理质量等意见和建议进行回复、改正；</w:t>
      </w:r>
    </w:p>
    <w:p w14:paraId="67F98760">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接到通知后，乙方应及时组织维修工作，确保不影响</w:t>
      </w:r>
      <w:r>
        <w:rPr>
          <w:rFonts w:hint="eastAsia" w:ascii="仿宋" w:hAnsi="仿宋" w:eastAsia="仿宋" w:cs="仿宋"/>
          <w:color w:val="auto"/>
          <w:sz w:val="24"/>
          <w:szCs w:val="24"/>
          <w:highlight w:val="none"/>
          <w:lang w:val="en-US" w:eastAsia="zh-CN"/>
        </w:rPr>
        <w:t>甲方工作</w:t>
      </w:r>
      <w:r>
        <w:rPr>
          <w:rFonts w:hint="eastAsia" w:ascii="仿宋" w:hAnsi="仿宋" w:eastAsia="仿宋" w:cs="仿宋"/>
          <w:color w:val="auto"/>
          <w:sz w:val="24"/>
          <w:szCs w:val="24"/>
          <w:highlight w:val="none"/>
        </w:rPr>
        <w:t>的正常秩序；</w:t>
      </w:r>
    </w:p>
    <w:p w14:paraId="64A59A7B">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乙方在维修过程中，应遵循“有报必修、随报随修、先简后繁、先易后难，质量第一和小修不过夜”的维修原则，尽量缩短维修时间；若出现特殊件待料、技术难题等不能按时</w:t>
      </w:r>
      <w:r>
        <w:rPr>
          <w:rFonts w:hint="eastAsia" w:ascii="仿宋" w:hAnsi="仿宋" w:eastAsia="仿宋" w:cs="仿宋"/>
          <w:color w:val="auto"/>
          <w:sz w:val="24"/>
          <w:szCs w:val="24"/>
          <w:highlight w:val="none"/>
          <w:lang w:val="en-US" w:eastAsia="zh-CN"/>
        </w:rPr>
        <w:t>完成</w:t>
      </w:r>
      <w:r>
        <w:rPr>
          <w:rFonts w:hint="eastAsia" w:ascii="仿宋" w:hAnsi="仿宋" w:eastAsia="仿宋" w:cs="仿宋"/>
          <w:color w:val="auto"/>
          <w:sz w:val="24"/>
          <w:szCs w:val="24"/>
          <w:highlight w:val="none"/>
        </w:rPr>
        <w:t>的，必须及时将详情反馈甲方，并征得甲方的同意。</w:t>
      </w:r>
    </w:p>
    <w:p w14:paraId="6AE3B0CC">
      <w:pPr>
        <w:keepNext w:val="0"/>
        <w:keepLines w:val="0"/>
        <w:pageBreakBefore w:val="0"/>
        <w:widowControl/>
        <w:kinsoku/>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按照甲方报表要求，分类汇总修理费用、材料费用</w:t>
      </w:r>
      <w:r>
        <w:rPr>
          <w:rFonts w:hint="eastAsia" w:ascii="仿宋" w:hAnsi="仿宋" w:eastAsia="仿宋" w:cs="仿宋"/>
          <w:color w:val="auto"/>
          <w:sz w:val="24"/>
          <w:szCs w:val="24"/>
          <w:highlight w:val="none"/>
          <w:lang w:val="en-US" w:eastAsia="zh-CN"/>
        </w:rPr>
        <w:t>等</w:t>
      </w:r>
      <w:r>
        <w:rPr>
          <w:rFonts w:hint="eastAsia" w:ascii="仿宋" w:hAnsi="仿宋" w:eastAsia="仿宋" w:cs="仿宋"/>
          <w:color w:val="auto"/>
          <w:sz w:val="24"/>
          <w:szCs w:val="24"/>
          <w:highlight w:val="none"/>
        </w:rPr>
        <w:t>明细。</w:t>
      </w:r>
    </w:p>
    <w:p w14:paraId="3805B937">
      <w:pPr>
        <w:spacing w:line="360" w:lineRule="auto"/>
        <w:rPr>
          <w:rFonts w:hint="eastAsia" w:ascii="仿宋" w:hAnsi="仿宋" w:eastAsia="仿宋" w:cs="仿宋"/>
          <w:b/>
          <w:bCs/>
          <w:color w:val="auto"/>
          <w:sz w:val="24"/>
          <w:szCs w:val="24"/>
          <w:highlight w:val="none"/>
          <w:lang w:val="zh-CN"/>
        </w:rPr>
      </w:pP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w:t>
      </w:r>
      <w:r>
        <w:rPr>
          <w:rFonts w:hint="eastAsia" w:ascii="仿宋" w:hAnsi="仿宋" w:eastAsia="仿宋" w:cs="仿宋"/>
          <w:b/>
          <w:bCs/>
          <w:color w:val="auto"/>
          <w:sz w:val="24"/>
          <w:szCs w:val="24"/>
          <w:highlight w:val="none"/>
          <w:lang w:val="zh-CN"/>
        </w:rPr>
        <w:t>违约责任</w:t>
      </w:r>
    </w:p>
    <w:p w14:paraId="1A3DCBF4">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（一）按《民法典》中的相关条款执行。</w:t>
      </w:r>
    </w:p>
    <w:p w14:paraId="22DC2279">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（二）乙方履约延误</w:t>
      </w:r>
    </w:p>
    <w:p w14:paraId="2841C0B7">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val="zh-CN"/>
        </w:rPr>
        <w:t>如乙方事先未征得甲方同意并得到甲方的谅解而单方面延迟交</w:t>
      </w:r>
      <w:r>
        <w:rPr>
          <w:rFonts w:hint="eastAsia" w:ascii="仿宋" w:hAnsi="仿宋" w:eastAsia="仿宋" w:cs="仿宋"/>
          <w:color w:val="auto"/>
          <w:sz w:val="24"/>
          <w:szCs w:val="24"/>
          <w:highlight w:val="none"/>
          <w:lang w:val="en-US" w:eastAsia="zh-CN"/>
        </w:rPr>
        <w:t>付</w:t>
      </w:r>
      <w:r>
        <w:rPr>
          <w:rFonts w:hint="eastAsia" w:ascii="仿宋" w:hAnsi="仿宋" w:eastAsia="仿宋" w:cs="仿宋"/>
          <w:color w:val="auto"/>
          <w:sz w:val="24"/>
          <w:szCs w:val="24"/>
          <w:highlight w:val="none"/>
          <w:lang w:val="zh-CN"/>
        </w:rPr>
        <w:t>，将按违约终止合同。</w:t>
      </w:r>
    </w:p>
    <w:p w14:paraId="145C3E73">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color w:val="auto"/>
          <w:sz w:val="24"/>
          <w:szCs w:val="24"/>
          <w:highlight w:val="none"/>
          <w:lang w:val="zh-CN"/>
        </w:rPr>
        <w:t>2</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lang w:val="zh-CN"/>
        </w:rPr>
        <w:t>在履行合同过程中，如果乙方遇到可能妨碍按时交货</w:t>
      </w:r>
      <w:r>
        <w:rPr>
          <w:rFonts w:hint="eastAsia" w:ascii="仿宋" w:hAnsi="仿宋" w:eastAsia="仿宋" w:cs="仿宋"/>
          <w:sz w:val="24"/>
          <w:szCs w:val="24"/>
          <w:highlight w:val="none"/>
          <w:lang w:val="zh-CN"/>
        </w:rPr>
        <w:t>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产品交货价或未提供服务的服务费用的百分之零点五（0.5%）计收，直至交货或提供服务为止。误期赔偿费的最高限额为合同价格的百分之五（5%）。一旦达到误期赔偿费的最高限额，甲方可终止合同。</w:t>
      </w:r>
    </w:p>
    <w:p w14:paraId="38EA6AE7">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val="zh-CN"/>
        </w:rPr>
        <w:t>违约终止合同：未按合同要求提供产品或质量不能满足技术要求，甲方会同监督机构有权终止合同，对乙方违约行为进行追究，同时按政府采购法的有关规定进行相应的处罚。</w:t>
      </w:r>
    </w:p>
    <w:p w14:paraId="59B346D5">
      <w:pPr>
        <w:spacing w:line="360" w:lineRule="auto"/>
        <w:rPr>
          <w:rFonts w:hint="eastAsia" w:ascii="仿宋" w:hAnsi="仿宋" w:eastAsia="仿宋" w:cs="仿宋"/>
          <w:b/>
          <w:bCs/>
          <w:sz w:val="24"/>
          <w:szCs w:val="24"/>
          <w:highlight w:val="none"/>
          <w:lang w:val="zh-CN"/>
        </w:rPr>
      </w:pPr>
      <w:r>
        <w:rPr>
          <w:rFonts w:hint="eastAsia" w:ascii="仿宋" w:hAnsi="仿宋" w:eastAsia="仿宋" w:cs="仿宋"/>
          <w:b/>
          <w:bCs/>
          <w:sz w:val="24"/>
          <w:szCs w:val="24"/>
          <w:highlight w:val="none"/>
          <w:lang w:val="en-US" w:eastAsia="zh-CN"/>
        </w:rPr>
        <w:t>九</w:t>
      </w:r>
      <w:r>
        <w:rPr>
          <w:rFonts w:hint="eastAsia" w:ascii="仿宋" w:hAnsi="仿宋" w:eastAsia="仿宋" w:cs="仿宋"/>
          <w:b/>
          <w:bCs/>
          <w:sz w:val="24"/>
          <w:szCs w:val="24"/>
          <w:highlight w:val="none"/>
          <w:lang w:val="zh-CN"/>
        </w:rPr>
        <w:t>、合同争议解决的方式</w:t>
      </w:r>
    </w:p>
    <w:p w14:paraId="2EE7805D">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本合同在履行过程中发生的争议，由甲、乙双方当事人协商解决，协商不成的按下列第</w:t>
      </w:r>
      <w:r>
        <w:rPr>
          <w:rFonts w:hint="eastAsia" w:ascii="仿宋" w:hAnsi="仿宋" w:eastAsia="仿宋" w:cs="仿宋"/>
          <w:sz w:val="24"/>
          <w:szCs w:val="24"/>
          <w:highlight w:val="none"/>
          <w:u w:val="single"/>
          <w:lang w:val="zh-CN"/>
        </w:rPr>
        <w:t>（二）</w:t>
      </w:r>
      <w:r>
        <w:rPr>
          <w:rFonts w:hint="eastAsia" w:ascii="仿宋" w:hAnsi="仿宋" w:eastAsia="仿宋" w:cs="仿宋"/>
          <w:sz w:val="24"/>
          <w:szCs w:val="24"/>
          <w:highlight w:val="none"/>
          <w:lang w:val="zh-CN"/>
        </w:rPr>
        <w:t>种方式解决：</w:t>
      </w:r>
    </w:p>
    <w:p w14:paraId="5FFBB15A">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（一）提交西安仲裁委员会仲裁；</w:t>
      </w:r>
    </w:p>
    <w:p w14:paraId="2DDD774A">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（二）依法向甲方所在地人民法院起诉。</w:t>
      </w:r>
    </w:p>
    <w:p w14:paraId="505FFD2C">
      <w:pPr>
        <w:spacing w:line="360" w:lineRule="auto"/>
        <w:rPr>
          <w:rFonts w:hint="eastAsia" w:ascii="仿宋" w:hAnsi="仿宋" w:eastAsia="仿宋" w:cs="仿宋"/>
          <w:b/>
          <w:bCs/>
          <w:sz w:val="24"/>
          <w:szCs w:val="24"/>
          <w:highlight w:val="none"/>
          <w:lang w:val="zh-CN"/>
        </w:rPr>
      </w:pPr>
      <w:r>
        <w:rPr>
          <w:rFonts w:hint="eastAsia" w:ascii="仿宋" w:hAnsi="仿宋" w:eastAsia="仿宋" w:cs="仿宋"/>
          <w:b/>
          <w:bCs/>
          <w:sz w:val="24"/>
          <w:szCs w:val="24"/>
          <w:highlight w:val="none"/>
          <w:lang w:val="en-US" w:eastAsia="zh-CN"/>
        </w:rPr>
        <w:t>十</w:t>
      </w:r>
      <w:r>
        <w:rPr>
          <w:rFonts w:hint="eastAsia" w:ascii="仿宋" w:hAnsi="仿宋" w:eastAsia="仿宋" w:cs="仿宋"/>
          <w:b/>
          <w:bCs/>
          <w:sz w:val="24"/>
          <w:szCs w:val="24"/>
          <w:highlight w:val="none"/>
          <w:lang w:val="zh-CN"/>
        </w:rPr>
        <w:t>、合同生效</w:t>
      </w:r>
    </w:p>
    <w:p w14:paraId="4AF7D8CE">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（一）本合同经双方签字盖章后生效。</w:t>
      </w:r>
    </w:p>
    <w:p w14:paraId="56501AFF">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（二）本合同须经甲、乙双方的法定代表人（授权代理人）在合同书上签字并加盖本单位公章后正式生效。</w:t>
      </w:r>
    </w:p>
    <w:p w14:paraId="42259858">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（三）合同生效后，甲、乙双方须严格执行本合同条款的规定，全面履行合同，违者按《中华人民共和国民法典》的有关规定承担相应责任。</w:t>
      </w:r>
    </w:p>
    <w:p w14:paraId="45DFADBB">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（四）本合同一式</w:t>
      </w:r>
      <w:r>
        <w:rPr>
          <w:rFonts w:hint="eastAsia" w:ascii="仿宋" w:hAnsi="仿宋" w:eastAsia="仿宋" w:cs="仿宋"/>
          <w:b/>
          <w:bCs/>
          <w:sz w:val="24"/>
          <w:szCs w:val="24"/>
          <w:highlight w:val="none"/>
          <w:u w:val="single"/>
          <w:lang w:val="zh-CN"/>
        </w:rPr>
        <w:t xml:space="preserve">   </w:t>
      </w:r>
      <w:r>
        <w:rPr>
          <w:rFonts w:hint="eastAsia" w:ascii="仿宋" w:hAnsi="仿宋" w:eastAsia="仿宋" w:cs="仿宋"/>
          <w:sz w:val="24"/>
          <w:szCs w:val="24"/>
          <w:highlight w:val="none"/>
          <w:lang w:val="zh-CN"/>
        </w:rPr>
        <w:t>份，甲乙双方各执</w:t>
      </w:r>
      <w:r>
        <w:rPr>
          <w:rFonts w:hint="eastAsia" w:ascii="仿宋" w:hAnsi="仿宋" w:eastAsia="仿宋" w:cs="仿宋"/>
          <w:sz w:val="24"/>
          <w:szCs w:val="24"/>
          <w:highlight w:val="none"/>
          <w:u w:val="single"/>
          <w:lang w:val="zh-CN"/>
        </w:rPr>
        <w:t xml:space="preserve">    </w:t>
      </w:r>
      <w:r>
        <w:rPr>
          <w:rFonts w:hint="eastAsia" w:ascii="仿宋" w:hAnsi="仿宋" w:eastAsia="仿宋" w:cs="仿宋"/>
          <w:sz w:val="24"/>
          <w:szCs w:val="24"/>
          <w:highlight w:val="none"/>
          <w:lang w:val="zh-CN"/>
        </w:rPr>
        <w:t>份。</w:t>
      </w:r>
    </w:p>
    <w:p w14:paraId="4F4135F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（五）本合同如有未尽事宜，甲、乙双方协商解决。</w:t>
      </w:r>
    </w:p>
    <w:p w14:paraId="1D3F0EEE">
      <w:pPr>
        <w:pStyle w:val="4"/>
        <w:rPr>
          <w:rFonts w:hint="eastAsia" w:ascii="仿宋" w:hAnsi="仿宋" w:eastAsia="仿宋" w:cs="仿宋"/>
          <w:sz w:val="24"/>
          <w:szCs w:val="24"/>
          <w:highlight w:val="none"/>
          <w:lang w:val="zh-CN"/>
        </w:rPr>
      </w:pPr>
    </w:p>
    <w:p w14:paraId="436EB073">
      <w:pPr>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br w:type="page"/>
      </w:r>
    </w:p>
    <w:p w14:paraId="6CE75D37">
      <w:pPr>
        <w:rPr>
          <w:rFonts w:hint="eastAsia" w:ascii="仿宋" w:hAnsi="仿宋" w:eastAsia="仿宋" w:cs="仿宋"/>
          <w:sz w:val="24"/>
          <w:szCs w:val="24"/>
          <w:highlight w:val="none"/>
          <w:lang w:val="zh-CN"/>
        </w:rPr>
      </w:pPr>
    </w:p>
    <w:tbl>
      <w:tblPr>
        <w:tblStyle w:val="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6"/>
        <w:gridCol w:w="4484"/>
      </w:tblGrid>
      <w:tr w14:paraId="311B5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shd w:val="clear" w:color="auto" w:fill="D8D8D8"/>
            <w:noWrap w:val="0"/>
            <w:vAlign w:val="center"/>
          </w:tcPr>
          <w:p w14:paraId="60820A16">
            <w:pPr>
              <w:spacing w:line="360" w:lineRule="auto"/>
              <w:jc w:val="center"/>
              <w:rPr>
                <w:rFonts w:hint="eastAsia" w:ascii="仿宋" w:hAnsi="仿宋" w:eastAsia="仿宋" w:cs="仿宋"/>
                <w:b/>
                <w:color w:val="000000"/>
                <w:highlight w:val="none"/>
              </w:rPr>
            </w:pPr>
            <w:r>
              <w:rPr>
                <w:rFonts w:hint="eastAsia" w:ascii="仿宋" w:hAnsi="仿宋" w:eastAsia="仿宋" w:cs="仿宋"/>
                <w:b/>
                <w:color w:val="000000"/>
                <w:highlight w:val="none"/>
              </w:rPr>
              <w:t>甲  方</w:t>
            </w:r>
          </w:p>
        </w:tc>
        <w:tc>
          <w:tcPr>
            <w:tcW w:w="2631" w:type="pct"/>
            <w:shd w:val="clear" w:color="auto" w:fill="D8D8D8"/>
            <w:noWrap w:val="0"/>
            <w:vAlign w:val="center"/>
          </w:tcPr>
          <w:p w14:paraId="4D623CA3">
            <w:pPr>
              <w:spacing w:line="360" w:lineRule="auto"/>
              <w:jc w:val="center"/>
              <w:rPr>
                <w:rFonts w:hint="eastAsia" w:ascii="仿宋" w:hAnsi="仿宋" w:eastAsia="仿宋" w:cs="仿宋"/>
                <w:b/>
                <w:color w:val="000000"/>
                <w:highlight w:val="none"/>
              </w:rPr>
            </w:pPr>
            <w:r>
              <w:rPr>
                <w:rFonts w:hint="eastAsia" w:ascii="仿宋" w:hAnsi="仿宋" w:eastAsia="仿宋" w:cs="仿宋"/>
                <w:b/>
                <w:color w:val="000000"/>
                <w:highlight w:val="none"/>
              </w:rPr>
              <w:t>乙  方</w:t>
            </w:r>
          </w:p>
        </w:tc>
      </w:tr>
      <w:tr w14:paraId="3F60F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2368" w:type="pct"/>
            <w:noWrap w:val="0"/>
            <w:vAlign w:val="center"/>
          </w:tcPr>
          <w:p w14:paraId="6DAF0D7D">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采购人</w:t>
            </w:r>
          </w:p>
          <w:p w14:paraId="741993E5">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（公章）</w:t>
            </w:r>
          </w:p>
        </w:tc>
        <w:tc>
          <w:tcPr>
            <w:tcW w:w="2631" w:type="pct"/>
            <w:noWrap w:val="0"/>
            <w:vAlign w:val="center"/>
          </w:tcPr>
          <w:p w14:paraId="60DC9260">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中标供应商</w:t>
            </w:r>
          </w:p>
          <w:p w14:paraId="5DE74DEA">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（公章）</w:t>
            </w:r>
          </w:p>
        </w:tc>
      </w:tr>
      <w:tr w14:paraId="58B82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4AAFE675">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c>
          <w:tcPr>
            <w:tcW w:w="2631" w:type="pct"/>
            <w:noWrap w:val="0"/>
            <w:vAlign w:val="center"/>
          </w:tcPr>
          <w:p w14:paraId="54CA6443">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地址：</w:t>
            </w:r>
          </w:p>
        </w:tc>
      </w:tr>
      <w:tr w14:paraId="0AF7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528EF6B5">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c>
          <w:tcPr>
            <w:tcW w:w="2631" w:type="pct"/>
            <w:noWrap w:val="0"/>
            <w:vAlign w:val="center"/>
          </w:tcPr>
          <w:p w14:paraId="0E375873">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邮编：</w:t>
            </w:r>
          </w:p>
        </w:tc>
      </w:tr>
      <w:tr w14:paraId="72413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006B4AB4">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c>
          <w:tcPr>
            <w:tcW w:w="2631" w:type="pct"/>
            <w:noWrap w:val="0"/>
            <w:vAlign w:val="center"/>
          </w:tcPr>
          <w:p w14:paraId="24CB8E02">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w:t>
            </w:r>
          </w:p>
        </w:tc>
      </w:tr>
      <w:tr w14:paraId="73A30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5F160D13">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负责人</w:t>
            </w:r>
            <w:r>
              <w:rPr>
                <w:rFonts w:hint="eastAsia" w:ascii="仿宋" w:hAnsi="仿宋" w:eastAsia="仿宋" w:cs="仿宋"/>
                <w:color w:val="000000"/>
                <w:sz w:val="24"/>
                <w:szCs w:val="24"/>
                <w:highlight w:val="none"/>
              </w:rPr>
              <w:t>：（签字）</w:t>
            </w:r>
          </w:p>
        </w:tc>
        <w:tc>
          <w:tcPr>
            <w:tcW w:w="2631" w:type="pct"/>
            <w:noWrap w:val="0"/>
            <w:vAlign w:val="center"/>
          </w:tcPr>
          <w:p w14:paraId="75C1EB0C">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eastAsia="zh-CN"/>
              </w:rPr>
              <w:t>负责人</w:t>
            </w:r>
            <w:r>
              <w:rPr>
                <w:rFonts w:hint="eastAsia" w:ascii="仿宋" w:hAnsi="仿宋" w:eastAsia="仿宋" w:cs="仿宋"/>
                <w:color w:val="000000"/>
                <w:sz w:val="24"/>
                <w:szCs w:val="24"/>
                <w:highlight w:val="none"/>
              </w:rPr>
              <w:t>：（签字）</w:t>
            </w:r>
          </w:p>
        </w:tc>
      </w:tr>
      <w:tr w14:paraId="78C96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12300305">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c>
          <w:tcPr>
            <w:tcW w:w="2631" w:type="pct"/>
            <w:noWrap w:val="0"/>
            <w:vAlign w:val="center"/>
          </w:tcPr>
          <w:p w14:paraId="3452525D">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电话：</w:t>
            </w:r>
          </w:p>
        </w:tc>
      </w:tr>
      <w:tr w14:paraId="209D8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071C0080">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c>
          <w:tcPr>
            <w:tcW w:w="2631" w:type="pct"/>
            <w:noWrap w:val="0"/>
            <w:vAlign w:val="center"/>
          </w:tcPr>
          <w:p w14:paraId="50E26A4B">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传真：</w:t>
            </w:r>
          </w:p>
        </w:tc>
      </w:tr>
      <w:tr w14:paraId="4D282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6202274A">
            <w:pPr>
              <w:spacing w:line="360" w:lineRule="auto"/>
              <w:jc w:val="both"/>
              <w:rPr>
                <w:rFonts w:hint="eastAsia" w:ascii="仿宋" w:hAnsi="仿宋" w:eastAsia="仿宋" w:cs="仿宋"/>
                <w:color w:val="000000"/>
                <w:sz w:val="24"/>
                <w:szCs w:val="24"/>
                <w:highlight w:val="none"/>
              </w:rPr>
            </w:pPr>
          </w:p>
        </w:tc>
        <w:tc>
          <w:tcPr>
            <w:tcW w:w="2631" w:type="pct"/>
            <w:noWrap w:val="0"/>
            <w:vAlign w:val="center"/>
          </w:tcPr>
          <w:p w14:paraId="59443EF9">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开户银行：</w:t>
            </w:r>
          </w:p>
        </w:tc>
      </w:tr>
      <w:tr w14:paraId="20CF2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21723E40">
            <w:pPr>
              <w:spacing w:line="360" w:lineRule="auto"/>
              <w:jc w:val="both"/>
              <w:rPr>
                <w:rFonts w:hint="eastAsia" w:ascii="仿宋" w:hAnsi="仿宋" w:eastAsia="仿宋" w:cs="仿宋"/>
                <w:color w:val="000000"/>
                <w:sz w:val="24"/>
                <w:szCs w:val="24"/>
                <w:highlight w:val="none"/>
              </w:rPr>
            </w:pPr>
          </w:p>
        </w:tc>
        <w:tc>
          <w:tcPr>
            <w:tcW w:w="2631" w:type="pct"/>
            <w:noWrap w:val="0"/>
            <w:vAlign w:val="center"/>
          </w:tcPr>
          <w:p w14:paraId="28BA7BC7">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账号：</w:t>
            </w:r>
          </w:p>
        </w:tc>
      </w:tr>
      <w:tr w14:paraId="725D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8" w:type="pct"/>
            <w:noWrap w:val="0"/>
            <w:vAlign w:val="center"/>
          </w:tcPr>
          <w:p w14:paraId="58626421">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c>
          <w:tcPr>
            <w:tcW w:w="2631" w:type="pct"/>
            <w:noWrap w:val="0"/>
            <w:vAlign w:val="center"/>
          </w:tcPr>
          <w:p w14:paraId="72F5D1A1">
            <w:pPr>
              <w:spacing w:line="360" w:lineRule="auto"/>
              <w:jc w:val="both"/>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tc>
      </w:tr>
    </w:tbl>
    <w:p w14:paraId="71F11DF6">
      <w:pPr>
        <w:pStyle w:val="5"/>
        <w:rPr>
          <w:rFonts w:hint="eastAsia" w:ascii="宋体" w:hAnsi="宋体" w:eastAsia="宋体" w:cs="宋体"/>
          <w:highlight w:val="none"/>
        </w:rPr>
      </w:pPr>
    </w:p>
    <w:p w14:paraId="4A4EA0D4">
      <w:bookmarkStart w:id="2" w:name="_GoBack"/>
      <w:bookmarkEnd w:id="2"/>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6F4A95"/>
    <w:rsid w:val="306F4A95"/>
    <w:rsid w:val="62EA1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Light" w:hAnsi="Calibri Light" w:eastAsia="华文仿宋"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paragraph" w:styleId="3">
    <w:name w:val="heading 4"/>
    <w:basedOn w:val="1"/>
    <w:next w:val="1"/>
    <w:unhideWhenUsed/>
    <w:qFormat/>
    <w:uiPriority w:val="0"/>
    <w:pPr>
      <w:keepNext/>
      <w:keepLines/>
      <w:spacing w:beforeLines="0" w:beforeAutospacing="0" w:afterLines="0" w:afterAutospacing="0" w:line="360" w:lineRule="auto"/>
      <w:outlineLvl w:val="3"/>
    </w:pPr>
    <w:rPr>
      <w:rFonts w:ascii="Arial" w:hAnsi="Arial" w:eastAsia="宋体"/>
      <w:b/>
      <w:sz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style>
  <w:style w:type="paragraph" w:styleId="5">
    <w:name w:val="footer"/>
    <w:basedOn w:val="1"/>
    <w:next w:val="4"/>
    <w:qFormat/>
    <w:uiPriority w:val="0"/>
    <w:pPr>
      <w:tabs>
        <w:tab w:val="center" w:pos="4153"/>
        <w:tab w:val="right" w:pos="8306"/>
      </w:tabs>
      <w:snapToGrid w:val="0"/>
      <w:jc w:val="left"/>
    </w:pPr>
    <w:rPr>
      <w:sz w:val="18"/>
    </w:rPr>
  </w:style>
  <w:style w:type="paragraph" w:customStyle="1" w:styleId="8">
    <w:name w:val="标题2"/>
    <w:basedOn w:val="3"/>
    <w:next w:val="1"/>
    <w:qFormat/>
    <w:uiPriority w:val="0"/>
    <w:pPr>
      <w:tabs>
        <w:tab w:val="left" w:pos="864"/>
      </w:tabs>
      <w:spacing w:before="0" w:beforeLines="50" w:after="0" w:afterLines="50" w:line="360" w:lineRule="auto"/>
      <w:ind w:firstLine="397" w:firstLineChars="0"/>
      <w:jc w:val="left"/>
    </w:pPr>
    <w:rPr>
      <w:rFonts w:ascii="黑体" w:hAnsi="宋体" w:eastAsia="宋体" w:cs="黑体"/>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2026-04-23T10:01:00Z</dcterms:created>
  <dc:creator>MY WAY、</dc:creator>
  <cp:lastModifiedBy>MY WAY、</cp:lastModifiedBy>
  <dcterms:modified xsi:type="dcterms:W3CDTF">2026-04-23T10:01:15Z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72BF014FCF984042A2BE540D6421B3D1_11</vt:lpwstr>
  </property>
  <property fmtid="{D5CDD505-2E9C-101B-9397-08002B2CF9AE}" pid="4" name="KSOTemplateDocerSaveRecord">
    <vt:lpwstr>eyJoZGlkIjoiMzVkZTQ4OGViM2VhM2ExY2JiNThhYmU1NmE2MWE2NzMiLCJ1c2VySWQiOiI2MTg4NTQ0MzUifQ==</vt:lpwstr>
  </property>
</Properties>
</file>