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9FE2">
      <w:pPr>
        <w:tabs>
          <w:tab w:val="left" w:pos="735"/>
        </w:tabs>
        <w:autoSpaceDE w:val="0"/>
        <w:autoSpaceDN w:val="0"/>
        <w:adjustRightInd w:val="0"/>
        <w:snapToGrid w:val="0"/>
        <w:spacing w:line="420" w:lineRule="exact"/>
        <w:jc w:val="center"/>
        <w:rPr>
          <w:rFonts w:hint="eastAsia" w:ascii="宋体" w:hAnsi="宋体"/>
          <w:b/>
          <w:sz w:val="24"/>
          <w:lang w:val="zh-CN"/>
        </w:rPr>
      </w:pPr>
      <w:r>
        <w:rPr>
          <w:b/>
          <w:sz w:val="36"/>
        </w:rPr>
        <w:t>拟签订采购合同文本</w:t>
      </w:r>
    </w:p>
    <w:p w14:paraId="5B23953F">
      <w:pPr>
        <w:tabs>
          <w:tab w:val="left" w:pos="735"/>
        </w:tabs>
        <w:autoSpaceDE w:val="0"/>
        <w:autoSpaceDN w:val="0"/>
        <w:adjustRightInd w:val="0"/>
        <w:snapToGrid w:val="0"/>
        <w:spacing w:line="420" w:lineRule="exact"/>
        <w:ind w:firstLine="482" w:firstLineChars="200"/>
        <w:rPr>
          <w:rFonts w:hint="eastAsia" w:ascii="宋体" w:hAnsi="宋体"/>
          <w:b/>
          <w:sz w:val="24"/>
          <w:lang w:val="zh-CN"/>
        </w:rPr>
      </w:pPr>
      <w:r>
        <w:rPr>
          <w:rFonts w:hint="eastAsia" w:ascii="宋体" w:hAnsi="宋体"/>
          <w:b/>
          <w:sz w:val="24"/>
          <w:lang w:val="zh-CN"/>
        </w:rPr>
        <w:t>（此合同草案条款，</w:t>
      </w:r>
      <w:r>
        <w:rPr>
          <w:rFonts w:hint="eastAsia" w:ascii="宋体" w:hAnsi="宋体"/>
          <w:b/>
          <w:sz w:val="24"/>
        </w:rPr>
        <w:t>采购人和中标单位</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val="zh-CN"/>
        </w:rPr>
        <w:t>招标文件确定的事项和中标供应商的投标文件做实质性修改，最终签订的合同以采购人确定的合同内容为准。）</w:t>
      </w:r>
    </w:p>
    <w:p w14:paraId="2B6FCBC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合同编号：</w:t>
      </w:r>
    </w:p>
    <w:p w14:paraId="03BB2AD2">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zh-CN" w:eastAsia="zh-CN"/>
        </w:rPr>
        <w:t>甲方：</w:t>
      </w:r>
    </w:p>
    <w:p w14:paraId="6ED25C31">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zh-CN" w:eastAsia="zh-CN"/>
        </w:rPr>
        <w:t>乙方：</w:t>
      </w:r>
    </w:p>
    <w:p w14:paraId="18747B2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根据《中华人民共和国民法典》《中华人民共和国政府采购法》与项目行业有关的法律法规，以及本项目相关采购要求的规定，合同双方就乙方向甲方提供</w:t>
      </w:r>
      <w:bookmarkStart w:id="0" w:name="OLE_LINK8"/>
      <w:r>
        <w:rPr>
          <w:rFonts w:hint="eastAsia" w:asciiTheme="minorEastAsia" w:hAnsiTheme="minorEastAsia" w:eastAsiaTheme="minorEastAsia" w:cstheme="minorEastAsia"/>
          <w:color w:val="auto"/>
          <w:sz w:val="24"/>
          <w:szCs w:val="24"/>
          <w:lang w:val="en-US" w:eastAsia="zh-CN"/>
        </w:rPr>
        <w:t>西安市不动产权籍调查中心宗地界址范围变化情况调查项目</w:t>
      </w:r>
      <w:bookmarkEnd w:id="0"/>
      <w:r>
        <w:rPr>
          <w:rFonts w:hint="eastAsia" w:asciiTheme="minorEastAsia" w:hAnsiTheme="minorEastAsia" w:eastAsiaTheme="minorEastAsia" w:cstheme="minorEastAsia"/>
          <w:color w:val="auto"/>
          <w:sz w:val="24"/>
          <w:szCs w:val="24"/>
          <w:lang w:val="en-US" w:eastAsia="zh-CN"/>
        </w:rPr>
        <w:t>事宜，经协商达成一致，确立本合同。</w:t>
      </w:r>
    </w:p>
    <w:p w14:paraId="673011E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en-US" w:eastAsia="zh-CN"/>
        </w:rPr>
        <w:t>一、</w:t>
      </w:r>
      <w:r>
        <w:rPr>
          <w:rFonts w:hint="eastAsia" w:asciiTheme="minorEastAsia" w:hAnsiTheme="minorEastAsia" w:eastAsiaTheme="minorEastAsia" w:cstheme="minorEastAsia"/>
          <w:color w:val="auto"/>
          <w:sz w:val="24"/>
          <w:szCs w:val="24"/>
          <w:lang w:val="zh-CN" w:eastAsia="zh-CN"/>
        </w:rPr>
        <w:t>合同内容</w:t>
      </w:r>
    </w:p>
    <w:p w14:paraId="71B2E6B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en-US" w:eastAsia="zh-CN"/>
        </w:rPr>
        <w:t>市本级（城六区，不含各市属开发区）范围内，办理登记业务中涉及的宗地界址范围变化情况调查。具体采购内容以磋商文件和响应文件为准。</w:t>
      </w:r>
    </w:p>
    <w:p w14:paraId="767E884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二、合同价款</w:t>
      </w:r>
    </w:p>
    <w:p w14:paraId="78747CB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1、合同总价：</w:t>
      </w:r>
      <w:r>
        <w:rPr>
          <w:rFonts w:hint="eastAsia" w:asciiTheme="minorEastAsia" w:hAnsiTheme="minorEastAsia" w:eastAsiaTheme="minorEastAsia" w:cstheme="minorEastAsia"/>
          <w:color w:val="auto"/>
          <w:sz w:val="24"/>
          <w:szCs w:val="24"/>
          <w:u w:val="single"/>
          <w:lang w:val="en-US" w:eastAsia="zh-CN"/>
        </w:rPr>
        <w:t>（人民币大写）      ，（小写）¥      元。（预算38.7万元，实际金额以最终磋商结果价为准）</w:t>
      </w:r>
    </w:p>
    <w:p w14:paraId="25AD1DFD">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 合同总价一次性包死，不受市场价格变化因素的影响。服务期内甲方不再增加任何费用。</w:t>
      </w:r>
    </w:p>
    <w:p w14:paraId="2B4E954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三、合同结算</w:t>
      </w:r>
    </w:p>
    <w:p w14:paraId="5E70DE4A">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费用支付：合同签订后，30日内一次性支付合同价款的50%，</w:t>
      </w:r>
      <w:r>
        <w:rPr>
          <w:rFonts w:hint="eastAsia" w:asciiTheme="minorEastAsia" w:hAnsiTheme="minorEastAsia" w:eastAsiaTheme="minorEastAsia" w:cstheme="minorEastAsia"/>
          <w:sz w:val="24"/>
          <w:szCs w:val="24"/>
          <w:lang w:val="en-US" w:eastAsia="zh-CN"/>
        </w:rPr>
        <w:t>乙</w:t>
      </w:r>
      <w:r>
        <w:rPr>
          <w:rFonts w:hint="eastAsia" w:asciiTheme="minorEastAsia" w:hAnsiTheme="minorEastAsia" w:eastAsiaTheme="minorEastAsia" w:cstheme="minorEastAsia"/>
          <w:sz w:val="24"/>
          <w:szCs w:val="24"/>
          <w:lang w:eastAsia="zh-CN"/>
        </w:rPr>
        <w:t>方提供</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lang w:eastAsia="zh-CN"/>
        </w:rPr>
        <w:t>额发票；202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年9</w:t>
      </w:r>
      <w:r>
        <w:rPr>
          <w:rFonts w:hint="eastAsia" w:asciiTheme="minorEastAsia" w:hAnsiTheme="minorEastAsia" w:eastAsiaTheme="minorEastAsia" w:cstheme="minorEastAsia"/>
          <w:sz w:val="24"/>
          <w:szCs w:val="24"/>
          <w:lang w:val="en-US" w:eastAsia="zh-CN"/>
        </w:rPr>
        <w:t>月</w:t>
      </w:r>
      <w:r>
        <w:rPr>
          <w:rFonts w:hint="eastAsia" w:asciiTheme="minorEastAsia" w:hAnsiTheme="minorEastAsia" w:eastAsiaTheme="minorEastAsia" w:cstheme="minorEastAsia"/>
          <w:sz w:val="24"/>
          <w:szCs w:val="24"/>
          <w:lang w:eastAsia="zh-CN"/>
        </w:rPr>
        <w:t>底前支付合同价款的40%，</w:t>
      </w:r>
      <w:r>
        <w:rPr>
          <w:rFonts w:hint="eastAsia" w:asciiTheme="minorEastAsia" w:hAnsiTheme="minorEastAsia" w:eastAsiaTheme="minorEastAsia" w:cstheme="minorEastAsia"/>
          <w:sz w:val="24"/>
          <w:szCs w:val="24"/>
          <w:lang w:val="en-US" w:eastAsia="zh-CN"/>
        </w:rPr>
        <w:t>乙</w:t>
      </w:r>
      <w:r>
        <w:rPr>
          <w:rFonts w:hint="eastAsia" w:asciiTheme="minorEastAsia" w:hAnsiTheme="minorEastAsia" w:eastAsiaTheme="minorEastAsia" w:cstheme="minorEastAsia"/>
          <w:sz w:val="24"/>
          <w:szCs w:val="24"/>
          <w:lang w:eastAsia="zh-CN"/>
        </w:rPr>
        <w:t>方提供</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lang w:eastAsia="zh-CN"/>
        </w:rPr>
        <w:t>额发票； 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年12</w:t>
      </w:r>
      <w:r>
        <w:rPr>
          <w:rFonts w:hint="eastAsia" w:asciiTheme="minorEastAsia" w:hAnsiTheme="minorEastAsia" w:eastAsiaTheme="minorEastAsia" w:cstheme="minorEastAsia"/>
          <w:sz w:val="24"/>
          <w:szCs w:val="24"/>
          <w:lang w:val="en-US" w:eastAsia="zh-CN"/>
        </w:rPr>
        <w:t>月</w:t>
      </w:r>
      <w:r>
        <w:rPr>
          <w:rFonts w:hint="eastAsia" w:asciiTheme="minorEastAsia" w:hAnsiTheme="minorEastAsia" w:eastAsiaTheme="minorEastAsia" w:cstheme="minorEastAsia"/>
          <w:sz w:val="24"/>
          <w:szCs w:val="24"/>
          <w:lang w:eastAsia="zh-CN"/>
        </w:rPr>
        <w:t>底前支付合同价款的10%，</w:t>
      </w:r>
      <w:r>
        <w:rPr>
          <w:rFonts w:hint="eastAsia" w:asciiTheme="minorEastAsia" w:hAnsiTheme="minorEastAsia" w:eastAsiaTheme="minorEastAsia" w:cstheme="minorEastAsia"/>
          <w:sz w:val="24"/>
          <w:szCs w:val="24"/>
          <w:lang w:val="en-US" w:eastAsia="zh-CN"/>
        </w:rPr>
        <w:t>乙</w:t>
      </w:r>
      <w:r>
        <w:rPr>
          <w:rFonts w:hint="eastAsia" w:asciiTheme="minorEastAsia" w:hAnsiTheme="minorEastAsia" w:eastAsiaTheme="minorEastAsia" w:cstheme="minorEastAsia"/>
          <w:sz w:val="24"/>
          <w:szCs w:val="24"/>
          <w:lang w:eastAsia="zh-CN"/>
        </w:rPr>
        <w:t>方提供</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lang w:eastAsia="zh-CN"/>
        </w:rPr>
        <w:t>额发票。</w:t>
      </w:r>
    </w:p>
    <w:p w14:paraId="5231E026">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支付方式：银行转账。</w:t>
      </w:r>
    </w:p>
    <w:p w14:paraId="2630164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3、结算单位：由</w:t>
      </w:r>
      <w:r>
        <w:rPr>
          <w:rFonts w:hint="eastAsia" w:asciiTheme="minorEastAsia" w:hAnsiTheme="minorEastAsia" w:eastAsiaTheme="minorEastAsia" w:cstheme="minorEastAsia"/>
          <w:color w:val="auto"/>
          <w:sz w:val="24"/>
          <w:szCs w:val="24"/>
          <w:u w:val="none"/>
          <w:lang w:val="en-US" w:eastAsia="zh-CN"/>
        </w:rPr>
        <w:t>甲方</w:t>
      </w:r>
      <w:r>
        <w:rPr>
          <w:rFonts w:hint="eastAsia" w:asciiTheme="minorEastAsia" w:hAnsiTheme="minorEastAsia" w:eastAsiaTheme="minorEastAsia" w:cstheme="minorEastAsia"/>
          <w:color w:val="auto"/>
          <w:sz w:val="24"/>
          <w:szCs w:val="24"/>
          <w:lang w:val="en-US" w:eastAsia="zh-CN"/>
        </w:rPr>
        <w:t>负责结算，每次付款前，乙方需向甲方开具应付价款的等额发票。</w:t>
      </w:r>
    </w:p>
    <w:p w14:paraId="1B9D612A">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bookmarkStart w:id="1" w:name="OLE_LINK1"/>
      <w:r>
        <w:rPr>
          <w:rFonts w:hint="eastAsia" w:asciiTheme="minorEastAsia" w:hAnsiTheme="minorEastAsia" w:eastAsiaTheme="minorEastAsia" w:cstheme="minorEastAsia"/>
          <w:color w:val="auto"/>
          <w:sz w:val="24"/>
          <w:szCs w:val="24"/>
          <w:lang w:val="en-US" w:eastAsia="zh-CN"/>
        </w:rPr>
        <w:t>四、服务期限</w:t>
      </w:r>
      <w:bookmarkEnd w:id="1"/>
    </w:p>
    <w:p w14:paraId="6896012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2026年6月1日至2027年5月31日。</w:t>
      </w:r>
    </w:p>
    <w:p w14:paraId="32C4E7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五、服务内容及要求</w:t>
      </w:r>
    </w:p>
    <w:p w14:paraId="2ABFAD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服务内容</w:t>
      </w:r>
    </w:p>
    <w:p w14:paraId="4D4D1089">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根据采购人业务需求，由承接方通过内业外业相结合的方法，调查核实</w:t>
      </w:r>
      <w:r>
        <w:rPr>
          <w:rFonts w:hint="eastAsia" w:asciiTheme="minorEastAsia" w:hAnsiTheme="minorEastAsia" w:eastAsiaTheme="minorEastAsia" w:cstheme="minorEastAsia"/>
          <w:color w:val="auto"/>
          <w:sz w:val="24"/>
          <w:szCs w:val="24"/>
        </w:rPr>
        <w:t>宗地界址范围是否发生变化，重点核实宗地</w:t>
      </w:r>
      <w:r>
        <w:rPr>
          <w:rFonts w:hint="eastAsia" w:asciiTheme="minorEastAsia" w:hAnsiTheme="minorEastAsia" w:eastAsiaTheme="minorEastAsia" w:cstheme="minorEastAsia"/>
          <w:color w:val="auto"/>
          <w:sz w:val="24"/>
          <w:szCs w:val="24"/>
          <w:lang w:val="en-US" w:eastAsia="zh-CN"/>
        </w:rPr>
        <w:t>原登记的界址范围</w:t>
      </w:r>
      <w:r>
        <w:rPr>
          <w:rFonts w:hint="eastAsia" w:asciiTheme="minorEastAsia" w:hAnsiTheme="minorEastAsia" w:eastAsiaTheme="minorEastAsia" w:cstheme="minorEastAsia"/>
          <w:color w:val="auto"/>
          <w:sz w:val="24"/>
          <w:szCs w:val="24"/>
        </w:rPr>
        <w:t>是否存在和四邻土地登记范围交叉重叠，是否存在因道路市政工程建设、土地收储等</w:t>
      </w:r>
      <w:r>
        <w:rPr>
          <w:rFonts w:hint="eastAsia" w:asciiTheme="minorEastAsia" w:hAnsiTheme="minorEastAsia" w:eastAsiaTheme="minorEastAsia" w:cstheme="minorEastAsia"/>
          <w:color w:val="auto"/>
          <w:sz w:val="24"/>
          <w:szCs w:val="24"/>
          <w:lang w:val="en-US" w:eastAsia="zh-CN"/>
        </w:rPr>
        <w:t>原因</w:t>
      </w:r>
      <w:r>
        <w:rPr>
          <w:rFonts w:hint="eastAsia" w:asciiTheme="minorEastAsia" w:hAnsiTheme="minorEastAsia" w:eastAsiaTheme="minorEastAsia" w:cstheme="minorEastAsia"/>
          <w:color w:val="auto"/>
          <w:sz w:val="24"/>
          <w:szCs w:val="24"/>
        </w:rPr>
        <w:t>导致的宗地界址、范围、面积变化</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并</w:t>
      </w:r>
      <w:r>
        <w:rPr>
          <w:rFonts w:hint="eastAsia" w:asciiTheme="minorEastAsia" w:hAnsiTheme="minorEastAsia" w:eastAsiaTheme="minorEastAsia" w:cstheme="minorEastAsia"/>
          <w:color w:val="auto"/>
          <w:sz w:val="24"/>
          <w:szCs w:val="24"/>
        </w:rPr>
        <w:t>出具调查</w:t>
      </w:r>
      <w:r>
        <w:rPr>
          <w:rFonts w:hint="eastAsia" w:asciiTheme="minorEastAsia" w:hAnsiTheme="minorEastAsia" w:eastAsiaTheme="minorEastAsia" w:cstheme="minorEastAsia"/>
          <w:color w:val="auto"/>
          <w:sz w:val="24"/>
          <w:szCs w:val="24"/>
          <w:lang w:val="en-US" w:eastAsia="zh-CN"/>
        </w:rPr>
        <w:t>报告</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给出明确的调查结论。对于经核实</w:t>
      </w:r>
      <w:r>
        <w:rPr>
          <w:rFonts w:hint="eastAsia" w:asciiTheme="minorEastAsia" w:hAnsiTheme="minorEastAsia" w:eastAsiaTheme="minorEastAsia" w:cstheme="minorEastAsia"/>
          <w:color w:val="auto"/>
          <w:sz w:val="24"/>
          <w:szCs w:val="24"/>
        </w:rPr>
        <w:t>宗地界址范围</w:t>
      </w:r>
      <w:r>
        <w:rPr>
          <w:rFonts w:hint="eastAsia" w:asciiTheme="minorEastAsia" w:hAnsiTheme="minorEastAsia" w:eastAsiaTheme="minorEastAsia" w:cstheme="minorEastAsia"/>
          <w:color w:val="auto"/>
          <w:sz w:val="24"/>
          <w:szCs w:val="24"/>
          <w:lang w:val="en-US" w:eastAsia="zh-CN"/>
        </w:rPr>
        <w:t>未发生变化的宗地，还需制作宗地图。</w:t>
      </w:r>
    </w:p>
    <w:p w14:paraId="29FAA331">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eastAsia="zh-CN"/>
        </w:rPr>
        <w:t>服务方式</w:t>
      </w:r>
    </w:p>
    <w:p w14:paraId="6A9202A7">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驻场服务。</w:t>
      </w:r>
      <w:r>
        <w:rPr>
          <w:rFonts w:hint="eastAsia" w:asciiTheme="minorEastAsia" w:hAnsiTheme="minorEastAsia" w:eastAsiaTheme="minorEastAsia" w:cstheme="minorEastAsia"/>
          <w:color w:val="auto"/>
          <w:sz w:val="24"/>
          <w:szCs w:val="24"/>
          <w:lang w:val="en-US" w:eastAsia="zh-CN"/>
        </w:rPr>
        <w:t>驻场</w:t>
      </w:r>
      <w:r>
        <w:rPr>
          <w:rFonts w:hint="eastAsia" w:asciiTheme="minorEastAsia" w:hAnsiTheme="minorEastAsia" w:eastAsiaTheme="minorEastAsia" w:cstheme="minorEastAsia"/>
          <w:color w:val="auto"/>
          <w:sz w:val="24"/>
          <w:szCs w:val="24"/>
          <w:lang w:eastAsia="zh-CN"/>
        </w:rPr>
        <w:t>服务地址：西安市莲湖区香米园西巷93号。</w:t>
      </w:r>
      <w:r>
        <w:rPr>
          <w:rFonts w:hint="eastAsia" w:asciiTheme="minorEastAsia" w:hAnsiTheme="minorEastAsia" w:eastAsiaTheme="minorEastAsia" w:cstheme="minorEastAsia"/>
          <w:color w:val="auto"/>
          <w:sz w:val="24"/>
          <w:szCs w:val="24"/>
          <w:lang w:val="en-US" w:eastAsia="zh-CN"/>
        </w:rPr>
        <w:t>如遇甲方办公地址发生变化，以</w:t>
      </w:r>
      <w:r>
        <w:rPr>
          <w:rFonts w:hint="eastAsia" w:asciiTheme="minorEastAsia" w:hAnsiTheme="minorEastAsia" w:eastAsiaTheme="minorEastAsia" w:cstheme="minorEastAsia"/>
          <w:sz w:val="24"/>
          <w:szCs w:val="24"/>
          <w:lang w:val="en-US" w:eastAsia="zh-CN"/>
        </w:rPr>
        <w:t>新的地址为准。</w:t>
      </w:r>
    </w:p>
    <w:p w14:paraId="0A1A84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技术要求</w:t>
      </w:r>
    </w:p>
    <w:p w14:paraId="730E6A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调查核实技术要求按照《地籍调查规程》（GB/T42547-2023）以及西安市有关技术规定执行。</w:t>
      </w:r>
    </w:p>
    <w:p w14:paraId="4BAA37B2">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（1）接受任务</w:t>
      </w:r>
    </w:p>
    <w:p w14:paraId="76139F88">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采购人将需要进行调查核实的宗地信息（包含土地证信息、发证坐标等）通过《任务单》下达给承接方驻场人员，承接方驻场人员进行签收确认。</w:t>
      </w:r>
    </w:p>
    <w:p w14:paraId="301EF9A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内业、外业调查核实</w:t>
      </w:r>
    </w:p>
    <w:p w14:paraId="25BC14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承接方驻场人员负责组织开展内业、外业调查核实工作。其中外业现场调查需两人同行，并进行界址点放样、标记、拍照工作。</w:t>
      </w:r>
    </w:p>
    <w:p w14:paraId="037E1CB4">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（3）出具相关报告成果</w:t>
      </w:r>
    </w:p>
    <w:p w14:paraId="2E164F2A">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根据调查核实情况，出具调查情况报告，报告需有明确结论，并附现场调查照片，报告需由调查人员签字，加盖承接方印章。对于经核实</w:t>
      </w:r>
      <w:r>
        <w:rPr>
          <w:rFonts w:hint="eastAsia" w:asciiTheme="minorEastAsia" w:hAnsiTheme="minorEastAsia" w:eastAsiaTheme="minorEastAsia" w:cstheme="minorEastAsia"/>
          <w:color w:val="auto"/>
          <w:sz w:val="24"/>
          <w:szCs w:val="24"/>
        </w:rPr>
        <w:t>宗地界址范围</w:t>
      </w:r>
      <w:r>
        <w:rPr>
          <w:rFonts w:hint="eastAsia" w:asciiTheme="minorEastAsia" w:hAnsiTheme="minorEastAsia" w:eastAsiaTheme="minorEastAsia" w:cstheme="minorEastAsia"/>
          <w:color w:val="auto"/>
          <w:sz w:val="24"/>
          <w:szCs w:val="24"/>
          <w:lang w:val="en-US" w:eastAsia="zh-CN"/>
        </w:rPr>
        <w:t>未发生变化的宗地，还需制作宗地图。</w:t>
      </w:r>
    </w:p>
    <w:p w14:paraId="66C8AE0A">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（4）资料移交</w:t>
      </w:r>
    </w:p>
    <w:p w14:paraId="1743F145">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将调查情况报告、宗地图等成果资料数据移交采购人。</w:t>
      </w:r>
    </w:p>
    <w:p w14:paraId="519F0468">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4、工作时限要求</w:t>
      </w:r>
    </w:p>
    <w:p w14:paraId="14A70580">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承接方收到采购人的《任务单》后，需在</w:t>
      </w:r>
      <w:r>
        <w:rPr>
          <w:rFonts w:hint="eastAsia" w:asciiTheme="minorEastAsia" w:hAnsiTheme="minorEastAsia" w:eastAsiaTheme="minorEastAsia" w:cstheme="minorEastAsia"/>
          <w:color w:val="auto"/>
          <w:sz w:val="24"/>
          <w:szCs w:val="24"/>
          <w:u w:val="none"/>
          <w:lang w:val="en-US" w:eastAsia="zh-CN"/>
        </w:rPr>
        <w:t>3</w:t>
      </w:r>
      <w:r>
        <w:rPr>
          <w:rFonts w:hint="eastAsia" w:asciiTheme="minorEastAsia" w:hAnsiTheme="minorEastAsia" w:eastAsiaTheme="minorEastAsia" w:cstheme="minorEastAsia"/>
          <w:color w:val="auto"/>
          <w:sz w:val="24"/>
          <w:szCs w:val="24"/>
          <w:lang w:val="en-US" w:eastAsia="zh-CN"/>
        </w:rPr>
        <w:t>个工作日内完成调查核实工作，并出具调查情况报告及相关成果。特殊情况需要延期的，需报请采购人同意。</w:t>
      </w:r>
    </w:p>
    <w:p w14:paraId="328FB360">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5、设备要求</w:t>
      </w:r>
    </w:p>
    <w:p w14:paraId="18F7D239">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承接方自备设备，包括满足调查测绘作业要求的测绘仪器、计算机、打印机、绘图软件等。</w:t>
      </w:r>
    </w:p>
    <w:p w14:paraId="56D6856B">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6、人员要求</w:t>
      </w:r>
    </w:p>
    <w:p w14:paraId="62B3AEA3">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承接方在项目实施过程中固定的团队人员不少于</w:t>
      </w:r>
      <w:r>
        <w:rPr>
          <w:rFonts w:hint="eastAsia" w:asciiTheme="minorEastAsia" w:hAnsiTheme="minorEastAsia" w:eastAsiaTheme="minorEastAsia" w:cstheme="minorEastAsia"/>
          <w:color w:val="auto"/>
          <w:sz w:val="24"/>
          <w:szCs w:val="24"/>
          <w:u w:val="none"/>
          <w:lang w:val="en-US" w:eastAsia="zh-CN"/>
        </w:rPr>
        <w:t>3</w:t>
      </w:r>
      <w:r>
        <w:rPr>
          <w:rFonts w:hint="eastAsia" w:asciiTheme="minorEastAsia" w:hAnsiTheme="minorEastAsia" w:eastAsiaTheme="minorEastAsia" w:cstheme="minorEastAsia"/>
          <w:color w:val="auto"/>
          <w:sz w:val="24"/>
          <w:szCs w:val="24"/>
          <w:lang w:val="en-US" w:eastAsia="zh-CN"/>
        </w:rPr>
        <w:t>人。</w:t>
      </w:r>
    </w:p>
    <w:p w14:paraId="4EF35151">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六、安全保密要求</w:t>
      </w:r>
    </w:p>
    <w:p w14:paraId="4B976EB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按照《中华人民共和国测绘法》及陕西省自然资源厅《关于进一步加强不动产登记信息安全保护工作的通知》的有关要求,双方应签订保密协议，明确项目的保密责任。乙方严格遵守相关保密安全规定，做到：</w:t>
      </w:r>
    </w:p>
    <w:p w14:paraId="26EFE83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1、乙方与其工作人员签订保密协议，加强对工作人员的保密教育。乙方负责对其聘用的工作人员进行身份审查、登记备案和签订保密协议，并将相关材料提交甲方备案。</w:t>
      </w:r>
    </w:p>
    <w:p w14:paraId="3B5EC2C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2、乙方对工作中收到甲方移交的地籍调查资料、不动产登记信息等要严格落实保密制度，不得以任何形式泄露、传播及提供给第三方使用，否则按国家有关规定处理，情节严重的承担相应的刑事责任。</w:t>
      </w:r>
    </w:p>
    <w:p w14:paraId="497EBDF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七、双方的权利和义务</w:t>
      </w:r>
    </w:p>
    <w:p w14:paraId="701788E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（一）甲方权利和义务</w:t>
      </w:r>
    </w:p>
    <w:p w14:paraId="58417D4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1.在项目服务过程中，甲方有权了解乙方工作开展情况。</w:t>
      </w:r>
    </w:p>
    <w:p w14:paraId="501B419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2.甲方有权审定乙方的服务方案并监督实施，了解具体工作内容，并有督促及建议权。</w:t>
      </w:r>
    </w:p>
    <w:p w14:paraId="7D26F6E3">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3.甲方有权随时按照招标文件和投标文件内容要求，对乙方所提供的服务进行检验。</w:t>
      </w:r>
    </w:p>
    <w:p w14:paraId="0991446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4.甲方应按照合同规定的付款要求及时将合同价款支付给乙方。</w:t>
      </w:r>
    </w:p>
    <w:p w14:paraId="2CF85782">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服务期内，因乙方未按合同约定条款执行，导致服务质量不达标，甲方通知乙方限期整改，整改仍不到位的，甲方将乙方违约的情况以及拟采取的措施以书面形式报政府采购监管部门，根据政府采购监管部门的处理意见，甲方有权依据《中华人民共和国民法典》有关条款及合同约定终止合同，并要求乙方承担违约责任。</w:t>
      </w:r>
    </w:p>
    <w:p w14:paraId="6E318DE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6.对乙方相关服务资料的所有权、使用权的约定：归甲方所有。未经甲方允许，任何单位和个人不得转让和使用本项目的相关内容。</w:t>
      </w:r>
    </w:p>
    <w:p w14:paraId="4361C96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（二）乙方权利和义务</w:t>
      </w:r>
    </w:p>
    <w:p w14:paraId="2AAEAEB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1.乙方应按照本合同约定的服务内容和要求制定服务方案，报经甲方同意后开始实施。</w:t>
      </w:r>
    </w:p>
    <w:p w14:paraId="7E220EE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2.乙方不得将本合同约定的服务内容转包给第三方完成。</w:t>
      </w:r>
    </w:p>
    <w:p w14:paraId="5D7E11A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3.乙方提供服务过程中，应接受甲方对工作的合理建议。</w:t>
      </w:r>
    </w:p>
    <w:p w14:paraId="10EB9632">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4、本合同服务期终止时，应当将有关工作资料及时移交给甲方。</w:t>
      </w:r>
    </w:p>
    <w:p w14:paraId="3B92290A">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八、验收及评价方式</w:t>
      </w:r>
    </w:p>
    <w:p w14:paraId="72FEF30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（一）甲方根据磋商文件和响应文件及相关文件，进行验收，确认服务标准和服务方式是否达到采购要求，验收合格后，填写政府采购项目验收单作为对项目的最终认可。</w:t>
      </w:r>
    </w:p>
    <w:p w14:paraId="6C15DED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（二）乙方向甲方提供服务过程中的所有资料,以便甲方日后管理。</w:t>
      </w:r>
    </w:p>
    <w:p w14:paraId="46ABED1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（三）验收依据</w:t>
      </w:r>
    </w:p>
    <w:p w14:paraId="290D779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1、磋商文件、响应文件、澄清表（函）；</w:t>
      </w:r>
    </w:p>
    <w:p w14:paraId="23F86DC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2、《地籍调查规程》（</w:t>
      </w:r>
      <w:r>
        <w:rPr>
          <w:rFonts w:hint="eastAsia" w:asciiTheme="minorEastAsia" w:hAnsiTheme="minorEastAsia" w:eastAsiaTheme="minorEastAsia" w:cstheme="minorEastAsia"/>
          <w:color w:val="auto"/>
          <w:sz w:val="24"/>
          <w:szCs w:val="24"/>
          <w:lang w:val="en-US" w:eastAsia="zh-CN"/>
        </w:rPr>
        <w:fldChar w:fldCharType="begin"/>
      </w:r>
      <w:r>
        <w:rPr>
          <w:rFonts w:hint="eastAsia" w:asciiTheme="minorEastAsia" w:hAnsiTheme="minorEastAsia" w:eastAsiaTheme="minorEastAsia" w:cstheme="minorEastAsia"/>
          <w:color w:val="auto"/>
          <w:sz w:val="24"/>
          <w:szCs w:val="24"/>
          <w:lang w:val="en-US" w:eastAsia="zh-CN"/>
        </w:rPr>
        <w:instrText xml:space="preserve"> HYPERLINK "https://www.so.com/link?m=bsLtQxyeU4CLkhPhR2B7pOniRIy%2BmvTeZT%2FhSjxj%2FmowpJzQDCDNJTmKYz0zAwzhfHyK%2Bzujs97RE1bZzFGAuEVF1E2cglXGbf0z%2BaknVppcYzt4FngbI%2Bs7EOaStfhZdyz2sGTrQKRMvN6eLgBmx93qTc%2B1mJeDpfPsottmWbI1tYgLb6h66k5hE9OKtx6D2iBuTTBq2muyWIJrF%2FpFSA%2F4riE4%3D" \t "_blank" </w:instrText>
      </w:r>
      <w:r>
        <w:rPr>
          <w:rFonts w:hint="eastAsia" w:asciiTheme="minorEastAsia" w:hAnsiTheme="minorEastAsia" w:eastAsiaTheme="minorEastAsia" w:cstheme="minorEastAsia"/>
          <w:color w:val="auto"/>
          <w:sz w:val="24"/>
          <w:szCs w:val="24"/>
          <w:lang w:val="en-US" w:eastAsia="zh-CN"/>
        </w:rPr>
        <w:fldChar w:fldCharType="separate"/>
      </w:r>
      <w:r>
        <w:rPr>
          <w:rFonts w:hint="eastAsia" w:asciiTheme="minorEastAsia" w:hAnsiTheme="minorEastAsia" w:eastAsiaTheme="minorEastAsia" w:cstheme="minorEastAsia"/>
          <w:color w:val="auto"/>
          <w:sz w:val="24"/>
          <w:szCs w:val="24"/>
          <w:lang w:val="en-US" w:eastAsia="zh-CN"/>
        </w:rPr>
        <w:t>GB/T42547-202</w:t>
      </w:r>
      <w:r>
        <w:rPr>
          <w:rFonts w:hint="eastAsia" w:asciiTheme="minorEastAsia" w:hAnsiTheme="minorEastAsia" w:eastAsiaTheme="minorEastAsia" w:cstheme="minorEastAsia"/>
          <w:color w:val="auto"/>
          <w:sz w:val="24"/>
          <w:szCs w:val="24"/>
          <w:lang w:val="en-US" w:eastAsia="zh-CN"/>
        </w:rPr>
        <w:fldChar w:fldCharType="end"/>
      </w:r>
      <w:r>
        <w:rPr>
          <w:rFonts w:hint="eastAsia" w:asciiTheme="minorEastAsia" w:hAnsiTheme="minorEastAsia" w:eastAsiaTheme="minorEastAsia" w:cstheme="minorEastAsia"/>
          <w:color w:val="auto"/>
          <w:sz w:val="24"/>
          <w:szCs w:val="24"/>
          <w:lang w:val="en-US" w:eastAsia="zh-CN"/>
        </w:rPr>
        <w:t>3）以及西安市有关技术规定；</w:t>
      </w:r>
    </w:p>
    <w:p w14:paraId="6034887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3、本合同及附件文本；</w:t>
      </w:r>
    </w:p>
    <w:p w14:paraId="5C7B25E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九、违约责任</w:t>
      </w:r>
    </w:p>
    <w:p w14:paraId="119168F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1、甲乙双方必须遵守本合同并执行合同中的各项规定，保证本合同的正常履行。</w:t>
      </w:r>
    </w:p>
    <w:p w14:paraId="466D5CA7">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2、本合同签订后甲乙双方不得单方终止合同，如乙方违约，应退还服务费，并赔偿给甲方实际造成的损失；如甲方违约，乙方收取的服务费不予退还。</w:t>
      </w:r>
    </w:p>
    <w:p w14:paraId="6351A467">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4、如因乙方未全面履行合同义务或者发生违约，甲方有权终止合同，依法向乙方进行经济索赔，并报请政府采购监督管理机关进行相应的行政处罚。甲方违约的，应当赔偿给乙方造成的直接经济损失。</w:t>
      </w:r>
    </w:p>
    <w:p w14:paraId="5E3F7E9C">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FAB3E0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十、知识产权</w:t>
      </w:r>
    </w:p>
    <w:p w14:paraId="36EBBFCB">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乙方应对所供产品具有或已取得合法知识产权，应保证所供产品及服务不会出现因第三方提出侵犯其专利权、商标权或其它知识产权而引发法律或经济纠纷，否则由乙方负责解决并承担全部责任。如因此影响 到甲方的正常使用，甲方有权单方解除本合同，乙方应无条件向甲方退回已收取的全部合同价款。</w:t>
      </w:r>
    </w:p>
    <w:p w14:paraId="527574B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十一、合同争议的解决</w:t>
      </w:r>
    </w:p>
    <w:p w14:paraId="5651663B">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bookmarkStart w:id="2" w:name="_GoBack"/>
      <w:r>
        <w:rPr>
          <w:rFonts w:hint="eastAsia" w:asciiTheme="minorEastAsia" w:hAnsiTheme="minorEastAsia" w:eastAsiaTheme="minorEastAsia" w:cstheme="minorEastAsia"/>
          <w:color w:val="auto"/>
          <w:sz w:val="24"/>
          <w:szCs w:val="24"/>
          <w:lang w:val="en-US" w:eastAsia="zh-CN"/>
        </w:rPr>
        <w:t>合同执行中发生争议的，当事人双方应协商解决。协商达不成一致时，可向当地人民法院提请诉讼</w:t>
      </w:r>
      <w:bookmarkEnd w:id="2"/>
      <w:r>
        <w:rPr>
          <w:rFonts w:hint="eastAsia" w:asciiTheme="minorEastAsia" w:hAnsiTheme="minorEastAsia" w:eastAsiaTheme="minorEastAsia" w:cstheme="minorEastAsia"/>
          <w:color w:val="auto"/>
          <w:sz w:val="24"/>
          <w:szCs w:val="24"/>
          <w:lang w:val="en-US" w:eastAsia="zh-CN"/>
        </w:rPr>
        <w:t>。</w:t>
      </w:r>
    </w:p>
    <w:p w14:paraId="6B9EE544">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十二、不可抗力情况下的免责约定</w:t>
      </w:r>
    </w:p>
    <w:p w14:paraId="7864AC6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双方约定不可抗力情况指：双方不可预见、不可避免、不可克服的客观情况，但不包括双方的违约或疏忽。这些事件包括但不限于：战争、严重火灾、洪水、台风、地震等。</w:t>
      </w:r>
    </w:p>
    <w:p w14:paraId="582589E6">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十三、合同组成</w:t>
      </w:r>
    </w:p>
    <w:p w14:paraId="2A84EE7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1、国家相关规范及标准</w:t>
      </w:r>
    </w:p>
    <w:p w14:paraId="33418707">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2、合同文件</w:t>
      </w:r>
    </w:p>
    <w:p w14:paraId="61A2142F">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3、中标通知书</w:t>
      </w:r>
    </w:p>
    <w:p w14:paraId="4289F5C2">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4、磋商文件</w:t>
      </w:r>
    </w:p>
    <w:p w14:paraId="1082933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5、响应文件</w:t>
      </w:r>
    </w:p>
    <w:p w14:paraId="729DFAE8">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十四、合同生效及其它</w:t>
      </w:r>
    </w:p>
    <w:p w14:paraId="3FD03192">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1、合同未尽事宜、由甲、乙双方协商，作为合同补充，与原合同具有同等法律效力。</w:t>
      </w:r>
    </w:p>
    <w:p w14:paraId="455C9DA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2、本合同正本一式</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份，甲方、乙方双方分别执</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份，市财政局备案</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份，采购代理机构存档</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份。各方签字盖章后生效。</w:t>
      </w:r>
    </w:p>
    <w:p w14:paraId="6E4E0C4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3、合同经甲乙双方盖章、签字后生效，合同签订地点为西安市。</w:t>
      </w:r>
    </w:p>
    <w:p w14:paraId="40E79671">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p>
    <w:p w14:paraId="0D99FA15">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p>
    <w:tbl>
      <w:tblPr>
        <w:tblStyle w:val="12"/>
        <w:tblW w:w="9055" w:type="dxa"/>
        <w:jc w:val="center"/>
        <w:tblLayout w:type="fixed"/>
        <w:tblCellMar>
          <w:top w:w="0" w:type="dxa"/>
          <w:left w:w="108" w:type="dxa"/>
          <w:bottom w:w="0" w:type="dxa"/>
          <w:right w:w="108" w:type="dxa"/>
        </w:tblCellMar>
      </w:tblPr>
      <w:tblGrid>
        <w:gridCol w:w="4602"/>
        <w:gridCol w:w="4453"/>
      </w:tblGrid>
      <w:tr w14:paraId="61859800">
        <w:tblPrEx>
          <w:tblCellMar>
            <w:top w:w="0" w:type="dxa"/>
            <w:left w:w="108" w:type="dxa"/>
            <w:bottom w:w="0" w:type="dxa"/>
            <w:right w:w="108" w:type="dxa"/>
          </w:tblCellMar>
        </w:tblPrEx>
        <w:trPr>
          <w:jc w:val="center"/>
        </w:trPr>
        <w:tc>
          <w:tcPr>
            <w:tcW w:w="4602" w:type="dxa"/>
            <w:noWrap w:val="0"/>
            <w:vAlign w:val="top"/>
          </w:tcPr>
          <w:p w14:paraId="222A7C7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甲方（盖章）：</w:t>
            </w:r>
          </w:p>
          <w:p w14:paraId="30BDCAA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地址：</w:t>
            </w:r>
          </w:p>
          <w:p w14:paraId="271D9593">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代表人（签字）：</w:t>
            </w:r>
          </w:p>
          <w:p w14:paraId="454B5BCD">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p>
          <w:p w14:paraId="6744216A">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电话：</w:t>
            </w:r>
          </w:p>
          <w:p w14:paraId="063C481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开户银行：</w:t>
            </w:r>
          </w:p>
          <w:p w14:paraId="5E1D467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帐号：</w:t>
            </w:r>
          </w:p>
        </w:tc>
        <w:tc>
          <w:tcPr>
            <w:tcW w:w="4453" w:type="dxa"/>
            <w:noWrap w:val="0"/>
            <w:vAlign w:val="top"/>
          </w:tcPr>
          <w:p w14:paraId="7DA8931C">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乙方（盖章）：</w:t>
            </w:r>
          </w:p>
          <w:p w14:paraId="1235139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地址：</w:t>
            </w:r>
          </w:p>
          <w:p w14:paraId="21AEA46D">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代表人（签字）：</w:t>
            </w:r>
          </w:p>
          <w:p w14:paraId="1D75486D">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p>
          <w:p w14:paraId="7012BECE">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电话：</w:t>
            </w:r>
          </w:p>
          <w:p w14:paraId="39374D30">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开户银行：</w:t>
            </w:r>
          </w:p>
          <w:p w14:paraId="79FF9E49">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帐号：</w:t>
            </w:r>
          </w:p>
        </w:tc>
      </w:tr>
    </w:tbl>
    <w:p w14:paraId="33F7831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color w:val="auto"/>
          <w:sz w:val="24"/>
          <w:szCs w:val="24"/>
          <w:lang w:val="en-US" w:eastAsia="zh-CN"/>
        </w:rPr>
      </w:pPr>
    </w:p>
    <w:p w14:paraId="7E14F49D">
      <w:pPr>
        <w:keepNext w:val="0"/>
        <w:keepLines w:val="0"/>
        <w:pageBreakBefore w:val="0"/>
        <w:widowControl w:val="0"/>
        <w:kinsoku/>
        <w:wordWrap/>
        <w:overflowPunct/>
        <w:topLinePunct w:val="0"/>
        <w:autoSpaceDE/>
        <w:autoSpaceDN/>
        <w:bidi w:val="0"/>
        <w:adjustRightInd/>
        <w:snapToGrid/>
        <w:spacing w:line="520" w:lineRule="exact"/>
        <w:ind w:firstLine="646"/>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签署日期：       年   月   日</w:t>
      </w:r>
    </w:p>
    <w:p w14:paraId="0BB4652D">
      <w:pPr>
        <w:ind w:firstLine="240" w:firstLineChars="100"/>
        <w:rPr>
          <w:sz w:val="24"/>
          <w:szCs w:val="24"/>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DD78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371B">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80371B">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4B3EB4"/>
    <w:multiLevelType w:val="singleLevel"/>
    <w:tmpl w:val="7A4B3EB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10876325"/>
    <w:rsid w:val="004F0F4D"/>
    <w:rsid w:val="010857E2"/>
    <w:rsid w:val="02867C9A"/>
    <w:rsid w:val="052D7F46"/>
    <w:rsid w:val="05AD64DF"/>
    <w:rsid w:val="091F4B4B"/>
    <w:rsid w:val="0A0F2E11"/>
    <w:rsid w:val="0ADE34F7"/>
    <w:rsid w:val="0B5C4D03"/>
    <w:rsid w:val="0CA653DC"/>
    <w:rsid w:val="0E274C11"/>
    <w:rsid w:val="10876325"/>
    <w:rsid w:val="11552124"/>
    <w:rsid w:val="11F33501"/>
    <w:rsid w:val="196640D0"/>
    <w:rsid w:val="1A373492"/>
    <w:rsid w:val="1C382B5F"/>
    <w:rsid w:val="1CB93D9D"/>
    <w:rsid w:val="1D48524C"/>
    <w:rsid w:val="1ECD5B85"/>
    <w:rsid w:val="1F0E3080"/>
    <w:rsid w:val="20621706"/>
    <w:rsid w:val="22F664C5"/>
    <w:rsid w:val="24CA4BBB"/>
    <w:rsid w:val="25273966"/>
    <w:rsid w:val="269C4722"/>
    <w:rsid w:val="283050FB"/>
    <w:rsid w:val="2975156E"/>
    <w:rsid w:val="29925E19"/>
    <w:rsid w:val="2CD87928"/>
    <w:rsid w:val="2D7C41E1"/>
    <w:rsid w:val="2E057E3D"/>
    <w:rsid w:val="2F6A6270"/>
    <w:rsid w:val="32023431"/>
    <w:rsid w:val="32A83CD6"/>
    <w:rsid w:val="34420C73"/>
    <w:rsid w:val="34DA0A32"/>
    <w:rsid w:val="360E18B1"/>
    <w:rsid w:val="3891466B"/>
    <w:rsid w:val="3B0E6147"/>
    <w:rsid w:val="3BAA0841"/>
    <w:rsid w:val="3BF3011D"/>
    <w:rsid w:val="41CF5FDF"/>
    <w:rsid w:val="455C75A3"/>
    <w:rsid w:val="4D1D7170"/>
    <w:rsid w:val="4D646013"/>
    <w:rsid w:val="51FE083C"/>
    <w:rsid w:val="542D3DC5"/>
    <w:rsid w:val="57923690"/>
    <w:rsid w:val="5D632CDE"/>
    <w:rsid w:val="5EF37821"/>
    <w:rsid w:val="61D36C4B"/>
    <w:rsid w:val="61EC24E5"/>
    <w:rsid w:val="66BB3AFC"/>
    <w:rsid w:val="67984807"/>
    <w:rsid w:val="6AF267A1"/>
    <w:rsid w:val="6C775A02"/>
    <w:rsid w:val="6CB20263"/>
    <w:rsid w:val="6E011DA5"/>
    <w:rsid w:val="6E3B0847"/>
    <w:rsid w:val="6EE70791"/>
    <w:rsid w:val="6F462F26"/>
    <w:rsid w:val="6F5970CA"/>
    <w:rsid w:val="704260BE"/>
    <w:rsid w:val="71310596"/>
    <w:rsid w:val="71655734"/>
    <w:rsid w:val="74DD3202"/>
    <w:rsid w:val="77062109"/>
    <w:rsid w:val="7A8D29CA"/>
    <w:rsid w:val="7AD5146A"/>
    <w:rsid w:val="7AFE2D3C"/>
    <w:rsid w:val="7B637D31"/>
    <w:rsid w:val="7D4875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autoRedefine/>
    <w:qFormat/>
    <w:uiPriority w:val="0"/>
    <w:pPr>
      <w:keepNext/>
      <w:spacing w:line="360" w:lineRule="auto"/>
      <w:jc w:val="center"/>
      <w:outlineLvl w:val="0"/>
    </w:pPr>
    <w:rPr>
      <w:rFonts w:ascii="Arial" w:hAnsi="Arial" w:eastAsia="仿宋" w:cs="Arial"/>
      <w:b/>
      <w:snapToGrid w:val="0"/>
      <w:color w:val="000000"/>
      <w:kern w:val="0"/>
      <w:sz w:val="32"/>
      <w:szCs w:val="21"/>
      <w:lang w:eastAsia="en-US"/>
    </w:rPr>
  </w:style>
  <w:style w:type="paragraph" w:styleId="2">
    <w:name w:val="heading 2"/>
    <w:basedOn w:val="1"/>
    <w:next w:val="1"/>
    <w:link w:val="15"/>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6"/>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3">
    <w:name w:val="Default Paragraph Font"/>
    <w:autoRedefine/>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39"/>
    <w:pPr>
      <w:tabs>
        <w:tab w:val="right" w:leader="dot" w:pos="9060"/>
      </w:tabs>
      <w:spacing w:line="360" w:lineRule="auto"/>
    </w:pPr>
    <w:rPr>
      <w:rFonts w:ascii="宋体" w:hAnsi="宋体" w:eastAsia="宋体"/>
      <w:b/>
      <w:sz w:val="24"/>
    </w:rPr>
  </w:style>
  <w:style w:type="paragraph" w:styleId="10">
    <w:name w:val="Normal (Web)"/>
    <w:basedOn w:val="1"/>
    <w:qFormat/>
    <w:uiPriority w:val="0"/>
    <w:pPr>
      <w:spacing w:beforeAutospacing="1" w:afterAutospacing="1"/>
      <w:jc w:val="left"/>
    </w:pPr>
    <w:rPr>
      <w:kern w:val="0"/>
      <w:sz w:val="24"/>
    </w:rPr>
  </w:style>
  <w:style w:type="paragraph" w:styleId="11">
    <w:name w:val="Body Text First Indent"/>
    <w:basedOn w:val="6"/>
    <w:qFormat/>
    <w:uiPriority w:val="0"/>
    <w:pPr>
      <w:ind w:firstLine="420" w:firstLineChars="100"/>
    </w:pPr>
    <w:rPr>
      <w:rFonts w:ascii="Times New Roman" w:hAnsi="Times New Roman" w:eastAsia="宋体" w:cs="Times New Roman"/>
    </w:rPr>
  </w:style>
  <w:style w:type="character" w:customStyle="1" w:styleId="14">
    <w:name w:val="标题 1 Char"/>
    <w:basedOn w:val="13"/>
    <w:link w:val="3"/>
    <w:autoRedefine/>
    <w:qFormat/>
    <w:uiPriority w:val="0"/>
    <w:rPr>
      <w:rFonts w:hint="eastAsia" w:ascii="Arial" w:hAnsi="Arial" w:eastAsia="仿宋" w:cs="Arial"/>
      <w:b/>
      <w:bCs/>
      <w:snapToGrid w:val="0"/>
      <w:color w:val="000000"/>
      <w:kern w:val="0"/>
      <w:sz w:val="30"/>
      <w:szCs w:val="21"/>
      <w:lang w:eastAsia="en-US"/>
    </w:rPr>
  </w:style>
  <w:style w:type="character" w:customStyle="1" w:styleId="15">
    <w:name w:val="标题 2 Char"/>
    <w:link w:val="2"/>
    <w:autoRedefine/>
    <w:qFormat/>
    <w:uiPriority w:val="0"/>
    <w:rPr>
      <w:rFonts w:ascii="Arial" w:hAnsi="Arial" w:eastAsia="宋体" w:cs="Arial"/>
      <w:b/>
      <w:bCs/>
      <w:snapToGrid w:val="0"/>
      <w:color w:val="000000"/>
      <w:kern w:val="0"/>
      <w:sz w:val="28"/>
      <w:szCs w:val="32"/>
      <w:lang w:val="en-US" w:eastAsia="en-US" w:bidi="ar-SA"/>
    </w:rPr>
  </w:style>
  <w:style w:type="character" w:customStyle="1" w:styleId="16">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2940</Words>
  <Characters>3001</Characters>
  <Lines>0</Lines>
  <Paragraphs>0</Paragraphs>
  <TotalTime>0</TotalTime>
  <ScaleCrop>false</ScaleCrop>
  <LinksUpToDate>false</LinksUpToDate>
  <CharactersWithSpaces>3041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2024-04-28T06:35:00Z</dcterms:created>
  <dc:creator>热血</dc:creator>
  <cp:lastModifiedBy>Kitty 爱 Lucky</cp:lastModifiedBy>
  <dcterms:modified xsi:type="dcterms:W3CDTF">2026-04-22T10:26:16Z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AB227B1FA6EA4239A0DF32BFF9121C58_11</vt:lpwstr>
  </property>
  <property fmtid="{D5CDD505-2E9C-101B-9397-08002B2CF9AE}" pid="4" name="KSOTemplateDocerSaveRecord">
    <vt:lpwstr>eyJoZGlkIjoiZDYxOGYxNmE5NmE0OWRjMjljZjE3YjdiMjYyNjg2YWUiLCJ1c2VySWQiOiI1MDMxNDc0NDMifQ==</vt:lpwstr>
  </property>
</Properties>
</file>