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版本号：SXHJZB-2026-0720260423001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其他修缮及维修服务项目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SXHJZB-2026-07</w:t>
      </w:r>
      <w:r>
        <w:br/>
      </w:r>
      <w:r>
        <w:br/>
      </w:r>
      <w:r>
        <w:br/>
      </w:r>
    </w:p>
    <w:p>
      <w:pPr>
        <w:pStyle w:val="null3"/>
        <w:jc w:val="center"/>
        <w:outlineLvl w:val="2"/>
      </w:pPr>
      <w:r>
        <w:rPr>
          <w:rFonts w:ascii="仿宋_GB2312" w:hAnsi="仿宋_GB2312" w:cs="仿宋_GB2312" w:eastAsia="仿宋_GB2312"/>
          <w:sz w:val="28"/>
          <w:b/>
        </w:rPr>
        <w:t>西安市三民村垃圾处理中转站</w:t>
      </w:r>
    </w:p>
    <w:p>
      <w:pPr>
        <w:pStyle w:val="null3"/>
        <w:jc w:val="center"/>
        <w:outlineLvl w:val="2"/>
      </w:pPr>
      <w:r>
        <w:rPr>
          <w:rFonts w:ascii="仿宋_GB2312" w:hAnsi="仿宋_GB2312" w:cs="仿宋_GB2312" w:eastAsia="仿宋_GB2312"/>
          <w:sz w:val="28"/>
          <w:b/>
        </w:rPr>
        <w:t>陕西华璟项目管理有限公司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2026年04月23日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陕西华璟项目管理有限公司</w:t>
      </w:r>
      <w:r>
        <w:rPr>
          <w:rFonts w:ascii="仿宋_GB2312" w:hAnsi="仿宋_GB2312" w:cs="仿宋_GB2312" w:eastAsia="仿宋_GB2312"/>
        </w:rPr>
        <w:t>（以下简称“代理机构”）受</w:t>
      </w:r>
      <w:r>
        <w:rPr>
          <w:rFonts w:ascii="仿宋_GB2312" w:hAnsi="仿宋_GB2312" w:cs="仿宋_GB2312" w:eastAsia="仿宋_GB2312"/>
        </w:rPr>
        <w:t>西安市三民村垃圾处理中转站</w:t>
      </w:r>
      <w:r>
        <w:rPr>
          <w:rFonts w:ascii="仿宋_GB2312" w:hAnsi="仿宋_GB2312" w:cs="仿宋_GB2312" w:eastAsia="仿宋_GB2312"/>
        </w:rPr>
        <w:t>委托，拟对</w:t>
      </w:r>
      <w:r>
        <w:rPr>
          <w:rFonts w:ascii="仿宋_GB2312" w:hAnsi="仿宋_GB2312" w:cs="仿宋_GB2312" w:eastAsia="仿宋_GB2312"/>
        </w:rPr>
        <w:t>其他修缮及维修服务项目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SXHJZB-2026-07</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其他修缮及维修服务项目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为西安市三民村垃圾处理中转站提供其他修缮及维修服务，详见磋商文件技术参数。</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采购包1（其他修缮及维修服务项目）：属于专门面向中小企业采购。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其他组织或自然人，提供合法有效的统一社会信用代码营业执照（事业单位提供事业单位法人证书，自然人提供身份证明）；供应商需在项目电子化交易系统中按要求上传相应证明文件并进行电子签章。</w:t>
      </w:r>
    </w:p>
    <w:p>
      <w:pPr>
        <w:pStyle w:val="null3"/>
      </w:pPr>
      <w:r>
        <w:rPr>
          <w:rFonts w:ascii="仿宋_GB2312" w:hAnsi="仿宋_GB2312" w:cs="仿宋_GB2312" w:eastAsia="仿宋_GB2312"/>
        </w:rPr>
        <w:t>2、参加政府采购活动前3年内在经营活动中没有重大违法记录：参加政府采购活动前3年内在经营活动中没有重大违法记录。供应商需在项目电子化交易系统中按要求填写《响应函》完成承诺并进行电子签章。</w:t>
      </w:r>
    </w:p>
    <w:p>
      <w:pPr>
        <w:pStyle w:val="null3"/>
      </w:pPr>
      <w:r>
        <w:rPr>
          <w:rFonts w:ascii="仿宋_GB2312" w:hAnsi="仿宋_GB2312" w:cs="仿宋_GB2312" w:eastAsia="仿宋_GB2312"/>
        </w:rPr>
        <w:t>3、信用主体查询：供应商不得为“信用中国”网站（www.creditchina.gov.cn）中被列入重大税收违法失信主体及未在“中国执行信息公开网”中被列入失信被执行人名单，不得为中国政府采购网（www.ccgp.gov.cn）政府采购严重违法失信行为记录名单中被财政部门禁止参加政府采购活动的投标人；供应商需在项目电子化交易系统中按要求上传相应证明文件并进行电子签章；</w:t>
      </w:r>
    </w:p>
    <w:p>
      <w:pPr>
        <w:pStyle w:val="null3"/>
      </w:pPr>
      <w:r>
        <w:rPr>
          <w:rFonts w:ascii="仿宋_GB2312" w:hAnsi="仿宋_GB2312" w:cs="仿宋_GB2312" w:eastAsia="仿宋_GB2312"/>
        </w:rPr>
        <w:t>4、财务状况报告：提供2024年或2025年度经会计师事务所或审计机构出具完整的财务审计报告（至少包括资产负债表和利润表，成立时间至提交响应文件截止时间不足一年的可提供成立后任意时段的资产负债表），或其基本存款账户开户银行出具的资信证明（以上两种形式的资料提供任何一种即可）；供应商需在项目电子化交易系统中按要求上传相应证明文件并进行电子签章。</w:t>
      </w:r>
    </w:p>
    <w:p>
      <w:pPr>
        <w:pStyle w:val="null3"/>
      </w:pPr>
      <w:r>
        <w:rPr>
          <w:rFonts w:ascii="仿宋_GB2312" w:hAnsi="仿宋_GB2312" w:cs="仿宋_GB2312" w:eastAsia="仿宋_GB2312"/>
        </w:rPr>
        <w:t>5、社保缴纳证明：截止投标时间前六个月内任意一个月的社会保障资金缴存单据或社保机构开具的社会保险参保缴费情况证明；依法不需要缴纳社会保障资金的投标人应提供相关文件证明；供应商需在项目电子化交易系统中按要求上传相应证明文件并进行电子签章。</w:t>
      </w:r>
    </w:p>
    <w:p>
      <w:pPr>
        <w:pStyle w:val="null3"/>
      </w:pPr>
      <w:r>
        <w:rPr>
          <w:rFonts w:ascii="仿宋_GB2312" w:hAnsi="仿宋_GB2312" w:cs="仿宋_GB2312" w:eastAsia="仿宋_GB2312"/>
        </w:rPr>
        <w:t>6、税收缴纳证明：截止投标时间前六个月内任意一个月的纳税证明或完税证明（任意税种），纳税证明或完税证明上应有代收机构或税务机关的公章或业务专用章；依法免税的投标人应提供相关文件证明（复印件加盖投标人公章）；供应商需在项目电子化交易系统中按要求上传相应证明文件并进行电子签章。</w:t>
      </w:r>
    </w:p>
    <w:p>
      <w:pPr>
        <w:pStyle w:val="null3"/>
      </w:pPr>
      <w:r>
        <w:rPr>
          <w:rFonts w:ascii="仿宋_GB2312" w:hAnsi="仿宋_GB2312" w:cs="仿宋_GB2312" w:eastAsia="仿宋_GB2312"/>
        </w:rPr>
        <w:t>7、法定代表人授权书：法定代表人授权书及被授权人身份证复印件（法定代表人直接参加投标只须提供法定代表人身份证明）；供应商需在项目电子化交易系统中按要求上传相应证明文件并进行电子签章。</w:t>
      </w:r>
    </w:p>
    <w:p>
      <w:pPr>
        <w:pStyle w:val="null3"/>
      </w:pPr>
      <w:r>
        <w:rPr>
          <w:rFonts w:ascii="仿宋_GB2312" w:hAnsi="仿宋_GB2312" w:cs="仿宋_GB2312" w:eastAsia="仿宋_GB2312"/>
        </w:rPr>
        <w:t>8、声明：供应商提供具有履行合同所必需的设备和专业技术能力的声明；供应商应提供承诺书，格式及内容具体参见“响应文件格式”</w:t>
      </w:r>
    </w:p>
    <w:p>
      <w:pPr>
        <w:pStyle w:val="null3"/>
      </w:pPr>
      <w:r>
        <w:rPr>
          <w:rFonts w:ascii="仿宋_GB2312" w:hAnsi="仿宋_GB2312" w:cs="仿宋_GB2312" w:eastAsia="仿宋_GB2312"/>
        </w:rPr>
        <w:t>9、本项目不接受联合体响应，不允许分包：供应商提供《非联合体、不分包投标声明》，视为独立响应，不分包；供应商应提供承诺书，格式及内容具体参见“响应文件格式”。</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西安市三民村垃圾处理中转站</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西安市莲湖区大兴西路45号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710077</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杨老师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17766668864</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陕西华璟项目管理有限公司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西安市高新区沣惠南路与科技二路交叉路口西南侧泰华金贸国际6号楼902室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刘森</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13468901862</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采购包1：752,000.00元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代理服务费收费标准：参照国家计委颁发的《招标代理服务收费管理暂行办法》（计价格[2002]1980号） 户名：陕西华璟项目管理有限公司 开户行：中国工商银行股份有限公司西安高新技术开发区支行 账号：3700024609200529721 汇款备注：项目名称+代理服务费（可简写） 请成交供应商按照要求将服务费汇入以上指定账户，如因自身原因发生错误，产生的不利后果均由供应商自行承担。</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西安市三民村垃圾处理中转站</w:t>
      </w:r>
      <w:r>
        <w:rPr>
          <w:rFonts w:ascii="仿宋_GB2312" w:hAnsi="仿宋_GB2312" w:cs="仿宋_GB2312" w:eastAsia="仿宋_GB2312"/>
        </w:rPr>
        <w:t>和</w:t>
      </w:r>
      <w:r>
        <w:rPr>
          <w:rFonts w:ascii="仿宋_GB2312" w:hAnsi="仿宋_GB2312" w:cs="仿宋_GB2312" w:eastAsia="仿宋_GB2312"/>
        </w:rPr>
        <w:t>陕西华璟项目管理有限公司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西安市三民村垃圾处理中转站</w:t>
      </w:r>
      <w:r>
        <w:rPr>
          <w:rFonts w:ascii="仿宋_GB2312" w:hAnsi="仿宋_GB2312" w:cs="仿宋_GB2312" w:eastAsia="仿宋_GB2312"/>
        </w:rPr>
        <w:t>负责解释。除上述磋商文件内容，其他内容由</w:t>
      </w:r>
      <w:r>
        <w:rPr>
          <w:rFonts w:ascii="仿宋_GB2312" w:hAnsi="仿宋_GB2312" w:cs="仿宋_GB2312" w:eastAsia="仿宋_GB2312"/>
        </w:rPr>
        <w:t>陕西华璟项目管理有限公司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西安市三民村垃圾处理中转站</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陕西华璟项目管理有限公司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详见采购合同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陕西华璟项目管理有限公司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陕西华璟项目管理有限公司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陕西华璟项目管理有限公司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联系人：刘森</w:t>
      </w:r>
    </w:p>
    <w:p>
      <w:pPr>
        <w:pStyle w:val="null3"/>
      </w:pPr>
      <w:r>
        <w:rPr>
          <w:rFonts w:ascii="仿宋_GB2312" w:hAnsi="仿宋_GB2312" w:cs="仿宋_GB2312" w:eastAsia="仿宋_GB2312"/>
        </w:rPr>
        <w:t>联系电话：13468901862</w:t>
      </w:r>
    </w:p>
    <w:p>
      <w:pPr>
        <w:pStyle w:val="null3"/>
      </w:pPr>
      <w:r>
        <w:rPr>
          <w:rFonts w:ascii="仿宋_GB2312" w:hAnsi="仿宋_GB2312" w:cs="仿宋_GB2312" w:eastAsia="仿宋_GB2312"/>
        </w:rPr>
        <w:t>地址：陕西省西安市高新区沣惠南路与科技二路交叉路口西南侧泰华金贸国际6号楼902室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为西安市三民村垃圾处理中转站提供其他修缮及维修服务，详见磋商文件技术参数。</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752,000.00</w:t>
      </w:r>
    </w:p>
    <w:p>
      <w:pPr>
        <w:pStyle w:val="null3"/>
      </w:pPr>
      <w:r>
        <w:rPr>
          <w:rFonts w:ascii="仿宋_GB2312" w:hAnsi="仿宋_GB2312" w:cs="仿宋_GB2312" w:eastAsia="仿宋_GB2312"/>
        </w:rPr>
        <w:t>采购包最高限价（元）: 752,000.00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其他维修和保养服务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752,000.00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标的名称：其他维修和保养服务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4"/>
                <w:b/>
              </w:rPr>
              <w:t>一、服务内容及要求</w:t>
            </w:r>
          </w:p>
          <w:p>
            <w:pPr>
              <w:pStyle w:val="null3"/>
            </w:pPr>
            <w:r>
              <w:rPr>
                <w:rFonts w:ascii="仿宋_GB2312" w:hAnsi="仿宋_GB2312" w:cs="仿宋_GB2312" w:eastAsia="仿宋_GB2312"/>
                <w:sz w:val="24"/>
              </w:rPr>
              <w:t>（一）专业设施维护</w:t>
            </w:r>
          </w:p>
          <w:p>
            <w:pPr>
              <w:pStyle w:val="null3"/>
              <w:jc w:val="both"/>
            </w:pPr>
            <w:r>
              <w:rPr>
                <w:rFonts w:ascii="仿宋_GB2312" w:hAnsi="仿宋_GB2312" w:cs="仿宋_GB2312" w:eastAsia="仿宋_GB2312"/>
                <w:sz w:val="24"/>
              </w:rPr>
              <w:t>1.特种设备类（锅炉、暖气管道、压力管道）</w:t>
            </w:r>
          </w:p>
          <w:p>
            <w:pPr>
              <w:pStyle w:val="null3"/>
              <w:jc w:val="both"/>
            </w:pPr>
            <w:r>
              <w:rPr>
                <w:rFonts w:ascii="仿宋_GB2312" w:hAnsi="仿宋_GB2312" w:cs="仿宋_GB2312" w:eastAsia="仿宋_GB2312"/>
                <w:sz w:val="24"/>
              </w:rPr>
              <w:t>1.执行《特种设备安全法》，锅炉/暖气管道分别落实月度巡检（≥1 次/月）、年度深度保养/检修，建立运行记录台账。</w:t>
            </w:r>
          </w:p>
          <w:p>
            <w:pPr>
              <w:pStyle w:val="null3"/>
              <w:jc w:val="both"/>
            </w:pPr>
            <w:r>
              <w:rPr>
                <w:rFonts w:ascii="仿宋_GB2312" w:hAnsi="仿宋_GB2312" w:cs="仿宋_GB2312" w:eastAsia="仿宋_GB2312"/>
                <w:sz w:val="24"/>
              </w:rPr>
              <w:t>2.供暖季前完成暖气管道全系统压力测试，供暖期每日巡检；锅炉应急故障处理需 30 分钟内响应。</w:t>
            </w:r>
          </w:p>
          <w:p>
            <w:pPr>
              <w:pStyle w:val="null3"/>
              <w:jc w:val="both"/>
            </w:pPr>
            <w:r>
              <w:rPr>
                <w:rFonts w:ascii="仿宋_GB2312" w:hAnsi="仿宋_GB2312" w:cs="仿宋_GB2312" w:eastAsia="仿宋_GB2312"/>
                <w:sz w:val="24"/>
              </w:rPr>
              <w:t>2.水电及基础设施类</w:t>
            </w:r>
          </w:p>
          <w:p>
            <w:pPr>
              <w:pStyle w:val="null3"/>
              <w:jc w:val="both"/>
            </w:pPr>
            <w:r>
              <w:rPr>
                <w:rFonts w:ascii="仿宋_GB2312" w:hAnsi="仿宋_GB2312" w:cs="仿宋_GB2312" w:eastAsia="仿宋_GB2312"/>
                <w:sz w:val="24"/>
              </w:rPr>
              <w:t>1.水电管网：建立设施台账，每月提交维护报告，突发停水停电 30 分钟内到场；下水管道每季</w:t>
            </w:r>
            <w:r>
              <w:rPr>
                <w:rFonts w:ascii="仿宋_GB2312" w:hAnsi="仿宋_GB2312" w:cs="仿宋_GB2312" w:eastAsia="仿宋_GB2312"/>
                <w:sz w:val="24"/>
              </w:rPr>
              <w:t>度清掏</w:t>
            </w:r>
            <w:r>
              <w:rPr>
                <w:rFonts w:ascii="仿宋_GB2312" w:hAnsi="仿宋_GB2312" w:cs="仿宋_GB2312" w:eastAsia="仿宋_GB2312"/>
                <w:sz w:val="24"/>
              </w:rPr>
              <w:t>≥ 1 次，化粪池每年清理≥2 次，雨季前排查防汛设备。</w:t>
            </w:r>
          </w:p>
          <w:p>
            <w:pPr>
              <w:pStyle w:val="null3"/>
              <w:jc w:val="both"/>
            </w:pPr>
            <w:r>
              <w:rPr>
                <w:rFonts w:ascii="仿宋_GB2312" w:hAnsi="仿宋_GB2312" w:cs="仿宋_GB2312" w:eastAsia="仿宋_GB2312"/>
                <w:sz w:val="24"/>
              </w:rPr>
              <w:t>2.建筑维修：覆盖办公楼、车间等区域，包含墙面修补、地面硬化、门窗维修等，每年全面检查标识系统，即时更换破损标识。</w:t>
            </w:r>
          </w:p>
          <w:p>
            <w:pPr>
              <w:pStyle w:val="null3"/>
              <w:jc w:val="both"/>
            </w:pPr>
            <w:r>
              <w:rPr>
                <w:rFonts w:ascii="仿宋_GB2312" w:hAnsi="仿宋_GB2312" w:cs="仿宋_GB2312" w:eastAsia="仿宋_GB2312"/>
                <w:sz w:val="24"/>
              </w:rPr>
              <w:t>3.设备系统类</w:t>
            </w:r>
            <w:r>
              <w:rPr>
                <w:rFonts w:ascii="仿宋_GB2312" w:hAnsi="仿宋_GB2312" w:cs="仿宋_GB2312" w:eastAsia="仿宋_GB2312"/>
                <w:sz w:val="24"/>
              </w:rPr>
              <w:t>（</w:t>
            </w:r>
            <w:r>
              <w:rPr>
                <w:rFonts w:ascii="仿宋_GB2312" w:hAnsi="仿宋_GB2312" w:cs="仿宋_GB2312" w:eastAsia="仿宋_GB2312"/>
                <w:sz w:val="24"/>
              </w:rPr>
              <w:t>LED、办公设备、净水器、空调、配电箱、照明、消防系统</w:t>
            </w:r>
            <w:r>
              <w:rPr>
                <w:rFonts w:ascii="仿宋_GB2312" w:hAnsi="仿宋_GB2312" w:cs="仿宋_GB2312" w:eastAsia="仿宋_GB2312"/>
                <w:sz w:val="24"/>
              </w:rPr>
              <w:t>、监控设备</w:t>
            </w:r>
            <w:r>
              <w:rPr>
                <w:rFonts w:ascii="仿宋_GB2312" w:hAnsi="仿宋_GB2312" w:cs="仿宋_GB2312" w:eastAsia="仿宋_GB2312"/>
                <w:sz w:val="24"/>
              </w:rPr>
              <w:t>等）</w:t>
            </w:r>
          </w:p>
          <w:p>
            <w:pPr>
              <w:pStyle w:val="null3"/>
              <w:jc w:val="both"/>
            </w:pPr>
            <w:r>
              <w:rPr>
                <w:rFonts w:ascii="仿宋_GB2312" w:hAnsi="仿宋_GB2312" w:cs="仿宋_GB2312" w:eastAsia="仿宋_GB2312"/>
                <w:sz w:val="24"/>
              </w:rPr>
              <w:t>统一执行</w:t>
            </w:r>
            <w:r>
              <w:rPr>
                <w:rFonts w:ascii="仿宋_GB2312" w:hAnsi="仿宋_GB2312" w:cs="仿宋_GB2312" w:eastAsia="仿宋_GB2312"/>
                <w:sz w:val="24"/>
              </w:rPr>
              <w:t>“日常巡检 + 年度检修 + 应急处理 + 记录管理” 模式，净水器需确保水质达标，消防系统符合安全规范。</w:t>
            </w:r>
          </w:p>
          <w:p>
            <w:pPr>
              <w:pStyle w:val="null3"/>
              <w:jc w:val="both"/>
            </w:pPr>
            <w:r>
              <w:rPr>
                <w:rFonts w:ascii="仿宋_GB2312" w:hAnsi="仿宋_GB2312" w:cs="仿宋_GB2312" w:eastAsia="仿宋_GB2312"/>
                <w:sz w:val="24"/>
              </w:rPr>
              <w:t>（二）保洁服务</w:t>
            </w:r>
          </w:p>
          <w:p>
            <w:pPr>
              <w:pStyle w:val="null3"/>
              <w:jc w:val="both"/>
            </w:pPr>
            <w:r>
              <w:rPr>
                <w:rFonts w:ascii="仿宋_GB2312" w:hAnsi="仿宋_GB2312" w:cs="仿宋_GB2312" w:eastAsia="仿宋_GB2312"/>
                <w:sz w:val="24"/>
              </w:rPr>
              <w:t>1.服务内容</w:t>
            </w:r>
          </w:p>
          <w:p>
            <w:pPr>
              <w:pStyle w:val="null3"/>
              <w:jc w:val="both"/>
            </w:pPr>
            <w:r>
              <w:rPr>
                <w:rFonts w:ascii="仿宋_GB2312" w:hAnsi="仿宋_GB2312" w:cs="仿宋_GB2312" w:eastAsia="仿宋_GB2312"/>
                <w:sz w:val="24"/>
              </w:rPr>
              <w:t>·公共区域：大厅、楼梯、卫生间每日清洁消毒，配备洗地机、吸尘器等设备，使用中性环保清洁剂</w:t>
            </w:r>
            <w:r>
              <w:rPr>
                <w:rFonts w:ascii="仿宋_GB2312" w:hAnsi="仿宋_GB2312" w:cs="仿宋_GB2312" w:eastAsia="仿宋_GB2312"/>
                <w:sz w:val="24"/>
              </w:rPr>
              <w:t>；窗户每月擦洗</w:t>
            </w:r>
            <w:r>
              <w:rPr>
                <w:rFonts w:ascii="仿宋_GB2312" w:hAnsi="仿宋_GB2312" w:cs="仿宋_GB2312" w:eastAsia="仿宋_GB2312"/>
                <w:sz w:val="24"/>
              </w:rPr>
              <w:t xml:space="preserve">≥ </w:t>
            </w:r>
            <w:r>
              <w:rPr>
                <w:rFonts w:ascii="仿宋_GB2312" w:hAnsi="仿宋_GB2312" w:cs="仿宋_GB2312" w:eastAsia="仿宋_GB2312"/>
                <w:sz w:val="24"/>
              </w:rPr>
              <w:t>2</w:t>
            </w:r>
            <w:r>
              <w:rPr>
                <w:rFonts w:ascii="仿宋_GB2312" w:hAnsi="仿宋_GB2312" w:cs="仿宋_GB2312" w:eastAsia="仿宋_GB2312"/>
                <w:sz w:val="24"/>
              </w:rPr>
              <w:t>次。</w:t>
            </w:r>
          </w:p>
          <w:p>
            <w:pPr>
              <w:pStyle w:val="null3"/>
              <w:jc w:val="both"/>
            </w:pPr>
            <w:r>
              <w:rPr>
                <w:rFonts w:ascii="仿宋_GB2312" w:hAnsi="仿宋_GB2312" w:cs="仿宋_GB2312" w:eastAsia="仿宋_GB2312"/>
                <w:sz w:val="24"/>
              </w:rPr>
              <w:t>·室外区域：道路每日机械清扫 + 人工补扫，标识牌每周擦拭 2 次，雨后 2 小时内清理积水。</w:t>
            </w:r>
          </w:p>
          <w:p>
            <w:pPr>
              <w:pStyle w:val="null3"/>
              <w:jc w:val="both"/>
            </w:pPr>
            <w:r>
              <w:rPr>
                <w:rFonts w:ascii="仿宋_GB2312" w:hAnsi="仿宋_GB2312" w:cs="仿宋_GB2312" w:eastAsia="仿宋_GB2312"/>
                <w:sz w:val="24"/>
              </w:rPr>
              <w:t>·垃圾管理：垃圾桶每日保洁消毒，分类清运每日 2 次（9:00/17:00），突发污染 30 分钟响应。</w:t>
            </w:r>
          </w:p>
          <w:p>
            <w:pPr>
              <w:pStyle w:val="null3"/>
              <w:jc w:val="both"/>
            </w:pPr>
            <w:r>
              <w:rPr>
                <w:rFonts w:ascii="仿宋_GB2312" w:hAnsi="仿宋_GB2312" w:cs="仿宋_GB2312" w:eastAsia="仿宋_GB2312"/>
                <w:sz w:val="24"/>
              </w:rPr>
              <w:t>2.服务标准</w:t>
            </w:r>
          </w:p>
          <w:p>
            <w:pPr>
              <w:pStyle w:val="null3"/>
              <w:jc w:val="both"/>
            </w:pPr>
            <w:r>
              <w:rPr>
                <w:rFonts w:ascii="仿宋_GB2312" w:hAnsi="仿宋_GB2312" w:cs="仿宋_GB2312" w:eastAsia="仿宋_GB2312"/>
                <w:sz w:val="24"/>
              </w:rPr>
              <w:t>·人员要求：高空作业需持特种作业证。</w:t>
            </w:r>
          </w:p>
          <w:p>
            <w:pPr>
              <w:pStyle w:val="null3"/>
              <w:jc w:val="both"/>
            </w:pPr>
            <w:r>
              <w:rPr>
                <w:rFonts w:ascii="仿宋_GB2312" w:hAnsi="仿宋_GB2312" w:cs="仿宋_GB2312" w:eastAsia="仿宋_GB2312"/>
                <w:sz w:val="24"/>
              </w:rPr>
              <w:t>·记录要求：每日填写《保洁服务记录表》，记录清洁区域、频次及问题。</w:t>
            </w:r>
          </w:p>
          <w:p>
            <w:pPr>
              <w:pStyle w:val="null3"/>
              <w:jc w:val="both"/>
            </w:pPr>
            <w:r>
              <w:rPr>
                <w:rFonts w:ascii="仿宋_GB2312" w:hAnsi="仿宋_GB2312" w:cs="仿宋_GB2312" w:eastAsia="仿宋_GB2312"/>
                <w:sz w:val="24"/>
              </w:rPr>
              <w:t>（三）食堂服务（整合重复内容，明确操作规范）</w:t>
            </w:r>
          </w:p>
          <w:p>
            <w:pPr>
              <w:pStyle w:val="null3"/>
              <w:jc w:val="both"/>
            </w:pPr>
            <w:r>
              <w:rPr>
                <w:rFonts w:ascii="仿宋_GB2312" w:hAnsi="仿宋_GB2312" w:cs="仿宋_GB2312" w:eastAsia="仿宋_GB2312"/>
                <w:sz w:val="24"/>
              </w:rPr>
              <w:t>1. 服务内容与标准</w:t>
            </w:r>
          </w:p>
          <w:p>
            <w:pPr>
              <w:pStyle w:val="null3"/>
              <w:jc w:val="both"/>
            </w:pPr>
            <w:r>
              <w:rPr>
                <w:rFonts w:ascii="仿宋_GB2312" w:hAnsi="仿宋_GB2312" w:cs="仿宋_GB2312" w:eastAsia="仿宋_GB2312"/>
                <w:sz w:val="24"/>
              </w:rPr>
              <w:t>·供餐规模：每日 70-80 人，提供早、午餐及加班餐，夏季增配消</w:t>
            </w:r>
            <w:r>
              <w:rPr>
                <w:rFonts w:ascii="仿宋_GB2312" w:hAnsi="仿宋_GB2312" w:cs="仿宋_GB2312" w:eastAsia="仿宋_GB2312"/>
                <w:sz w:val="24"/>
              </w:rPr>
              <w:t>暑饮品。</w:t>
            </w:r>
          </w:p>
          <w:p>
            <w:pPr>
              <w:pStyle w:val="null3"/>
              <w:jc w:val="both"/>
            </w:pPr>
            <w:r>
              <w:rPr>
                <w:rFonts w:ascii="仿宋_GB2312" w:hAnsi="仿宋_GB2312" w:cs="仿宋_GB2312" w:eastAsia="仿宋_GB2312"/>
                <w:sz w:val="24"/>
              </w:rPr>
              <w:t>·卫生要求：生熟分区存放，食材离地 10cm，48小时餐品留样；操作台/厨具每餐后消毒（高温蒸汽≥30 分钟），排水沟每日清掏</w:t>
            </w:r>
            <w:r>
              <w:rPr>
                <w:rFonts w:ascii="仿宋_GB2312" w:hAnsi="仿宋_GB2312" w:cs="仿宋_GB2312" w:eastAsia="仿宋_GB2312"/>
                <w:sz w:val="24"/>
              </w:rPr>
              <w:t>1次</w:t>
            </w:r>
            <w:r>
              <w:rPr>
                <w:rFonts w:ascii="仿宋_GB2312" w:hAnsi="仿宋_GB2312" w:cs="仿宋_GB2312" w:eastAsia="仿宋_GB2312"/>
                <w:sz w:val="24"/>
              </w:rPr>
              <w:t>、每周疏通</w:t>
            </w:r>
            <w:r>
              <w:rPr>
                <w:rFonts w:ascii="仿宋_GB2312" w:hAnsi="仿宋_GB2312" w:cs="仿宋_GB2312" w:eastAsia="仿宋_GB2312"/>
                <w:sz w:val="24"/>
              </w:rPr>
              <w:t xml:space="preserve">≥ </w:t>
            </w:r>
            <w:r>
              <w:rPr>
                <w:rFonts w:ascii="仿宋_GB2312" w:hAnsi="仿宋_GB2312" w:cs="仿宋_GB2312" w:eastAsia="仿宋_GB2312"/>
                <w:sz w:val="24"/>
              </w:rPr>
              <w:t>1</w:t>
            </w:r>
            <w:r>
              <w:rPr>
                <w:rFonts w:ascii="仿宋_GB2312" w:hAnsi="仿宋_GB2312" w:cs="仿宋_GB2312" w:eastAsia="仿宋_GB2312"/>
                <w:sz w:val="24"/>
              </w:rPr>
              <w:t>次。</w:t>
            </w:r>
          </w:p>
          <w:p>
            <w:pPr>
              <w:pStyle w:val="null3"/>
              <w:jc w:val="both"/>
            </w:pPr>
            <w:r>
              <w:rPr>
                <w:rFonts w:ascii="仿宋_GB2312" w:hAnsi="仿宋_GB2312" w:cs="仿宋_GB2312" w:eastAsia="仿宋_GB2312"/>
                <w:sz w:val="24"/>
              </w:rPr>
              <w:t>·设备管理：配备燃气灶、蒸箱、冰柜、消毒柜等，每日记录消毒台账。</w:t>
            </w:r>
          </w:p>
          <w:p>
            <w:pPr>
              <w:pStyle w:val="null3"/>
              <w:jc w:val="both"/>
            </w:pPr>
            <w:r>
              <w:rPr>
                <w:rFonts w:ascii="仿宋_GB2312" w:hAnsi="仿宋_GB2312" w:cs="仿宋_GB2312" w:eastAsia="仿宋_GB2312"/>
                <w:sz w:val="24"/>
              </w:rPr>
              <w:t>2. 应急保障</w:t>
            </w:r>
          </w:p>
          <w:p>
            <w:pPr>
              <w:pStyle w:val="null3"/>
              <w:jc w:val="both"/>
            </w:pPr>
            <w:r>
              <w:rPr>
                <w:rFonts w:ascii="仿宋_GB2312" w:hAnsi="仿宋_GB2312" w:cs="仿宋_GB2312" w:eastAsia="仿宋_GB2312"/>
                <w:sz w:val="24"/>
              </w:rPr>
              <w:t>·设备故障或极端天气时，通过外购盒饭等方式保障供餐。</w:t>
            </w:r>
          </w:p>
          <w:p>
            <w:pPr>
              <w:pStyle w:val="null3"/>
              <w:numPr>
                <w:ilvl w:val="0"/>
                <w:numId w:val="1"/>
              </w:numPr>
              <w:spacing w:after="120"/>
              <w:jc w:val="both"/>
            </w:pPr>
            <w:r>
              <w:rPr>
                <w:rFonts w:ascii="仿宋_GB2312" w:hAnsi="仿宋_GB2312" w:cs="仿宋_GB2312" w:eastAsia="仿宋_GB2312"/>
                <w:sz w:val="24"/>
                <w:b/>
              </w:rPr>
              <w:t>人员要求</w:t>
            </w:r>
          </w:p>
          <w:tbl>
            <w:tblPr>
              <w:tblInd w:type="dxa" w:w="120"/>
              <w:tblBorders>
                <w:top w:val="none" w:color="000000" w:sz="4"/>
                <w:left w:val="none" w:color="000000" w:sz="4"/>
                <w:bottom w:val="none" w:color="000000" w:sz="4"/>
                <w:right w:val="none" w:color="000000" w:sz="4"/>
                <w:insideH w:val="none"/>
                <w:insideV w:val="none"/>
              </w:tblBorders>
            </w:tblPr>
            <w:tblGrid>
              <w:gridCol w:w="606"/>
              <w:gridCol w:w="453"/>
              <w:gridCol w:w="488"/>
              <w:gridCol w:w="1005"/>
            </w:tblGrid>
            <w:tr>
              <w:tc>
                <w:tcPr>
                  <w:tcW w:type="dxa" w:w="606"/>
                  <w:tcBorders>
                    <w:top w:val="single" w:color="000000" w:sz="4"/>
                    <w:left w:val="single" w:color="000000" w:sz="4"/>
                    <w:bottom w:val="single" w:color="000000" w:sz="4"/>
                    <w:right w:val="single" w:color="000000" w:sz="4"/>
                  </w:tcBorders>
                  <w:shd w:fill="BEBEBE"/>
                  <w:tcMar>
                    <w:top w:type="dxa" w:w="0"/>
                    <w:left w:type="dxa" w:w="0"/>
                    <w:bottom w:type="dxa" w:w="0"/>
                    <w:right w:type="dxa" w:w="0"/>
                  </w:tcMar>
                  <w:vAlign w:val="top"/>
                </w:tcPr>
                <w:p>
                  <w:pPr>
                    <w:pStyle w:val="null3"/>
                    <w:jc w:val="center"/>
                  </w:pPr>
                  <w:r>
                    <w:rPr>
                      <w:rFonts w:ascii="仿宋_GB2312" w:hAnsi="仿宋_GB2312" w:cs="仿宋_GB2312" w:eastAsia="仿宋_GB2312"/>
                      <w:sz w:val="24"/>
                    </w:rPr>
                    <w:t>岗位</w:t>
                  </w:r>
                  <w:r>
                    <w:rPr>
                      <w:rFonts w:ascii="仿宋_GB2312" w:hAnsi="仿宋_GB2312" w:cs="仿宋_GB2312" w:eastAsia="仿宋_GB2312"/>
                      <w:sz w:val="24"/>
                    </w:rPr>
                    <w:t>/职务</w:t>
                  </w:r>
                </w:p>
              </w:tc>
              <w:tc>
                <w:tcPr>
                  <w:tcW w:type="dxa" w:w="453"/>
                  <w:tcBorders>
                    <w:top w:val="single" w:color="000000" w:sz="4"/>
                    <w:left w:val="none" w:color="000000" w:sz="4"/>
                    <w:bottom w:val="single" w:color="000000" w:sz="4"/>
                    <w:right w:val="single" w:color="000000" w:sz="4"/>
                  </w:tcBorders>
                  <w:shd w:fill="BEBEBE"/>
                  <w:tcMar>
                    <w:top w:type="dxa" w:w="0"/>
                    <w:left w:type="dxa" w:w="0"/>
                    <w:bottom w:type="dxa" w:w="0"/>
                    <w:right w:type="dxa" w:w="0"/>
                  </w:tcMar>
                  <w:vAlign w:val="top"/>
                </w:tcPr>
                <w:p>
                  <w:pPr>
                    <w:pStyle w:val="null3"/>
                    <w:jc w:val="center"/>
                  </w:pPr>
                  <w:r>
                    <w:rPr>
                      <w:rFonts w:ascii="仿宋_GB2312" w:hAnsi="仿宋_GB2312" w:cs="仿宋_GB2312" w:eastAsia="仿宋_GB2312"/>
                      <w:sz w:val="24"/>
                    </w:rPr>
                    <w:t>人员类别</w:t>
                  </w:r>
                </w:p>
              </w:tc>
              <w:tc>
                <w:tcPr>
                  <w:tcW w:type="dxa" w:w="488"/>
                  <w:tcBorders>
                    <w:top w:val="single" w:color="000000" w:sz="4"/>
                    <w:left w:val="none" w:color="000000" w:sz="4"/>
                    <w:bottom w:val="single" w:color="000000" w:sz="4"/>
                    <w:right w:val="single" w:color="000000" w:sz="4"/>
                  </w:tcBorders>
                  <w:shd w:fill="BEBEBE"/>
                  <w:tcMar>
                    <w:top w:type="dxa" w:w="0"/>
                    <w:left w:type="dxa" w:w="0"/>
                    <w:bottom w:type="dxa" w:w="0"/>
                    <w:right w:type="dxa" w:w="0"/>
                  </w:tcMar>
                  <w:vAlign w:val="top"/>
                </w:tcPr>
                <w:p>
                  <w:pPr>
                    <w:pStyle w:val="null3"/>
                    <w:jc w:val="center"/>
                  </w:pPr>
                  <w:r>
                    <w:rPr>
                      <w:rFonts w:ascii="仿宋_GB2312" w:hAnsi="仿宋_GB2312" w:cs="仿宋_GB2312" w:eastAsia="仿宋_GB2312"/>
                      <w:sz w:val="24"/>
                    </w:rPr>
                    <w:t>数量</w:t>
                  </w:r>
                  <w:r>
                    <w:rPr>
                      <w:rFonts w:ascii="仿宋_GB2312" w:hAnsi="仿宋_GB2312" w:cs="仿宋_GB2312" w:eastAsia="仿宋_GB2312"/>
                      <w:sz w:val="24"/>
                    </w:rPr>
                    <w:t>(人)</w:t>
                  </w:r>
                </w:p>
              </w:tc>
              <w:tc>
                <w:tcPr>
                  <w:tcW w:type="dxa" w:w="1005"/>
                  <w:tcBorders>
                    <w:top w:val="single" w:color="000000" w:sz="4"/>
                    <w:left w:val="none" w:color="000000" w:sz="4"/>
                    <w:bottom w:val="single" w:color="000000" w:sz="4"/>
                    <w:right w:val="single" w:color="000000" w:sz="4"/>
                  </w:tcBorders>
                  <w:shd w:fill="BEBEBE"/>
                  <w:tcMar>
                    <w:top w:type="dxa" w:w="0"/>
                    <w:left w:type="dxa" w:w="0"/>
                    <w:bottom w:type="dxa" w:w="0"/>
                    <w:right w:type="dxa" w:w="0"/>
                  </w:tcMar>
                  <w:vAlign w:val="top"/>
                </w:tcPr>
                <w:p>
                  <w:pPr>
                    <w:pStyle w:val="null3"/>
                    <w:jc w:val="center"/>
                  </w:pPr>
                  <w:r>
                    <w:rPr>
                      <w:rFonts w:ascii="仿宋_GB2312" w:hAnsi="仿宋_GB2312" w:cs="仿宋_GB2312" w:eastAsia="仿宋_GB2312"/>
                      <w:sz w:val="24"/>
                    </w:rPr>
                    <w:t>备注</w:t>
                  </w:r>
                </w:p>
              </w:tc>
            </w:tr>
            <w:tr>
              <w:tc>
                <w:tcPr>
                  <w:tcW w:type="dxa" w:w="6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项目经理</w:t>
                  </w:r>
                </w:p>
              </w:tc>
              <w:tc>
                <w:tcPr>
                  <w:tcW w:type="dxa" w:w="45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管理人员</w:t>
                  </w:r>
                </w:p>
              </w:tc>
              <w:tc>
                <w:tcPr>
                  <w:tcW w:type="dxa" w:w="48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1</w:t>
                  </w:r>
                </w:p>
              </w:tc>
              <w:tc>
                <w:tcPr>
                  <w:tcW w:type="dxa" w:w="100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4"/>
                    </w:rPr>
                    <w:t>应具备有健康证</w:t>
                  </w:r>
                </w:p>
              </w:tc>
            </w:tr>
            <w:tr>
              <w:tc>
                <w:tcPr>
                  <w:tcW w:type="dxa" w:w="6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综合电工</w:t>
                  </w:r>
                </w:p>
              </w:tc>
              <w:tc>
                <w:tcPr>
                  <w:tcW w:type="dxa" w:w="45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作业人员</w:t>
                  </w:r>
                </w:p>
              </w:tc>
              <w:tc>
                <w:tcPr>
                  <w:tcW w:type="dxa" w:w="48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1</w:t>
                  </w:r>
                </w:p>
              </w:tc>
              <w:tc>
                <w:tcPr>
                  <w:tcW w:type="dxa" w:w="100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firstLine="12"/>
                    <w:jc w:val="both"/>
                  </w:pPr>
                  <w:r>
                    <w:rPr>
                      <w:rFonts w:ascii="仿宋_GB2312" w:hAnsi="仿宋_GB2312" w:cs="仿宋_GB2312" w:eastAsia="仿宋_GB2312"/>
                      <w:sz w:val="24"/>
                    </w:rPr>
                    <w:t>电工应具备有相应的职业资格证书</w:t>
                  </w:r>
                  <w:r>
                    <w:rPr>
                      <w:rFonts w:ascii="仿宋_GB2312" w:hAnsi="仿宋_GB2312" w:cs="仿宋_GB2312" w:eastAsia="仿宋_GB2312"/>
                      <w:sz w:val="24"/>
                    </w:rPr>
                    <w:t>及健康证</w:t>
                  </w:r>
                </w:p>
              </w:tc>
            </w:tr>
            <w:tr>
              <w:tc>
                <w:tcPr>
                  <w:tcW w:type="dxa" w:w="6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锅炉工</w:t>
                  </w:r>
                </w:p>
              </w:tc>
              <w:tc>
                <w:tcPr>
                  <w:tcW w:type="dxa" w:w="45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作业人员</w:t>
                  </w:r>
                </w:p>
              </w:tc>
              <w:tc>
                <w:tcPr>
                  <w:tcW w:type="dxa" w:w="48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1</w:t>
                  </w:r>
                </w:p>
              </w:tc>
              <w:tc>
                <w:tcPr>
                  <w:tcW w:type="dxa" w:w="100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4"/>
                    </w:rPr>
                    <w:t>锅炉工应具备相应的职业资格证书</w:t>
                  </w:r>
                  <w:r>
                    <w:rPr>
                      <w:rFonts w:ascii="仿宋_GB2312" w:hAnsi="仿宋_GB2312" w:cs="仿宋_GB2312" w:eastAsia="仿宋_GB2312"/>
                      <w:sz w:val="24"/>
                    </w:rPr>
                    <w:t>及健康证</w:t>
                  </w:r>
                </w:p>
              </w:tc>
            </w:tr>
            <w:tr>
              <w:tc>
                <w:tcPr>
                  <w:tcW w:type="dxa" w:w="6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保洁</w:t>
                  </w:r>
                </w:p>
              </w:tc>
              <w:tc>
                <w:tcPr>
                  <w:tcW w:type="dxa" w:w="45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作业人员</w:t>
                  </w:r>
                </w:p>
              </w:tc>
              <w:tc>
                <w:tcPr>
                  <w:tcW w:type="dxa" w:w="48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5</w:t>
                  </w:r>
                </w:p>
              </w:tc>
              <w:tc>
                <w:tcPr>
                  <w:tcW w:type="dxa" w:w="100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4"/>
                    </w:rPr>
                    <w:t>应具备有健康证</w:t>
                  </w:r>
                </w:p>
              </w:tc>
            </w:tr>
            <w:tr>
              <w:tc>
                <w:tcPr>
                  <w:tcW w:type="dxa" w:w="6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食堂</w:t>
                  </w:r>
                </w:p>
              </w:tc>
              <w:tc>
                <w:tcPr>
                  <w:tcW w:type="dxa" w:w="45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作业人员</w:t>
                  </w:r>
                </w:p>
              </w:tc>
              <w:tc>
                <w:tcPr>
                  <w:tcW w:type="dxa" w:w="48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3</w:t>
                  </w:r>
                </w:p>
              </w:tc>
              <w:tc>
                <w:tcPr>
                  <w:tcW w:type="dxa" w:w="100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4"/>
                    </w:rPr>
                    <w:t>应具备有健康证</w:t>
                  </w:r>
                </w:p>
              </w:tc>
            </w:tr>
            <w:tr>
              <w:tc>
                <w:tcPr>
                  <w:tcW w:type="dxa" w:w="2552"/>
                  <w:gridSpan w:val="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4"/>
                    </w:rPr>
                    <w:t>合计：</w:t>
                  </w:r>
                  <w:r>
                    <w:rPr>
                      <w:rFonts w:ascii="仿宋_GB2312" w:hAnsi="仿宋_GB2312" w:cs="仿宋_GB2312" w:eastAsia="仿宋_GB2312"/>
                      <w:sz w:val="24"/>
                    </w:rPr>
                    <w:t>1</w:t>
                  </w:r>
                  <w:r>
                    <w:rPr>
                      <w:rFonts w:ascii="仿宋_GB2312" w:hAnsi="仿宋_GB2312" w:cs="仿宋_GB2312" w:eastAsia="仿宋_GB2312"/>
                      <w:sz w:val="24"/>
                    </w:rPr>
                    <w:t>1</w:t>
                  </w:r>
                  <w:r>
                    <w:rPr>
                      <w:rFonts w:ascii="仿宋_GB2312" w:hAnsi="仿宋_GB2312" w:cs="仿宋_GB2312" w:eastAsia="仿宋_GB2312"/>
                      <w:sz w:val="24"/>
                    </w:rPr>
                    <w:t>人</w:t>
                  </w:r>
                </w:p>
              </w:tc>
            </w:tr>
          </w:tbl>
          <w:p>
            <w:pPr>
              <w:pStyle w:val="null3"/>
              <w:jc w:val="both"/>
            </w:pPr>
            <w:r>
              <w:rPr>
                <w:rFonts w:ascii="仿宋_GB2312" w:hAnsi="仿宋_GB2312" w:cs="仿宋_GB2312" w:eastAsia="仿宋_GB2312"/>
                <w:sz w:val="24"/>
              </w:rPr>
              <w:t>注：以上所有人员食宿自理；</w:t>
            </w:r>
            <w:r>
              <w:rPr>
                <w:rFonts w:ascii="仿宋_GB2312" w:hAnsi="仿宋_GB2312" w:cs="仿宋_GB2312" w:eastAsia="仿宋_GB2312"/>
                <w:sz w:val="24"/>
              </w:rPr>
              <w:t>供应商须为前述全员足额投保人身意外伤害保险（意外险），保险持续有效，</w:t>
            </w:r>
            <w:r>
              <w:rPr>
                <w:rFonts w:ascii="仿宋_GB2312" w:hAnsi="仿宋_GB2312" w:cs="仿宋_GB2312" w:eastAsia="仿宋_GB2312"/>
                <w:sz w:val="24"/>
              </w:rPr>
              <w:t>同时</w:t>
            </w:r>
            <w:r>
              <w:rPr>
                <w:rFonts w:ascii="仿宋_GB2312" w:hAnsi="仿宋_GB2312" w:cs="仿宋_GB2312" w:eastAsia="仿宋_GB2312"/>
                <w:sz w:val="24"/>
              </w:rPr>
              <w:t>每月定期向甲方报送工资发放凭证与人员工资明细表。</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详见技术参数</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详见技术参数</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自合同签订起至2026年12月31日</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详见采购合同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合同签订后，甲方收到增值税普通发票后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2026年第三季度结束，经验收合格，甲方收到增值税普通发票后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 xml:space="preserve">2026年第四季度，于12月初进行验收，经验收合格，甲方收到增值税普通发票后 </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详见采购合同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本项目所属行业为其他未列明行业：从业人员300人以下的为中小微型企业。其中，从业人员100人及以上的为中型企业；从业人员10人及以上的为小型企业；从业人员10人以下的为微型企业。</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响应文件封面 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 资格证明文件.docx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响应文件封面 资格证明文件.docx</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提供合法有效的统一社会信用代码营业执照（事业单位提供事业单位法人证书，自然人提供身份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参加政府采购活动前3年内在经营活动中没有重大违法记录</w:t>
            </w:r>
          </w:p>
        </w:tc>
        <w:tc>
          <w:tcPr>
            <w:tcW w:type="dxa" w:w="3322"/>
          </w:tcPr>
          <w:p>
            <w:pPr>
              <w:pStyle w:val="null3"/>
            </w:pPr>
            <w:r>
              <w:rPr>
                <w:rFonts w:ascii="仿宋_GB2312" w:hAnsi="仿宋_GB2312" w:cs="仿宋_GB2312" w:eastAsia="仿宋_GB2312"/>
              </w:rPr>
              <w:t>参加政府采购活动前3年内在经营活动中没有重大违法记录。供应商需在项目电子化交易系统中按要求填写《响应函》完成承诺并进行电子签章。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信用主体查询</w:t>
            </w:r>
          </w:p>
        </w:tc>
        <w:tc>
          <w:tcPr>
            <w:tcW w:type="dxa" w:w="3322"/>
          </w:tcPr>
          <w:p>
            <w:pPr>
              <w:pStyle w:val="null3"/>
            </w:pPr>
            <w:r>
              <w:rPr>
                <w:rFonts w:ascii="仿宋_GB2312" w:hAnsi="仿宋_GB2312" w:cs="仿宋_GB2312" w:eastAsia="仿宋_GB2312"/>
              </w:rPr>
              <w:t>供应商不得为“信用中国”网站（www.creditchina.gov.cn）中被列入重大税收违法失信主体及未在“中国执行信息公开网”中被列入失信被执行人名单，不得为中国政府采购网（www.ccgp.gov.cn）政府采购严重违法失信行为记录名单中被财政部门禁止参加政府采购活动的投标人；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或2025年度经会计师事务所或审计机构出具完整的财务审计报告（至少包括资产负债表和利润表，成立时间至提交响应文件截止时间不足一年的可提供成立后任意时段的资产负债表），或其基本存款账户开户银行出具的资信证明（以上两种形式的资料提供任何一种即可）；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截止投标时间前六个月内任意一个月的社会保障资金缴存单据或社保机构开具的社会保险参保缴费情况证明；依法不需要缴纳社会保障资金的投标人应提供相关文件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截止投标时间前六个月内任意一个月的纳税证明或完税证明（任意税种），纳税证明或完税证明上应有代收机构或税务机关的公章或业务专用章；依法免税的投标人应提供相关文件证明（复印件加盖投标人公章）；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法定代表人授权书及被授权人身份证复印件（法定代表人直接参加投标只须提供法定代表人身份证明）；供应商需在项目电子化交易系统中按要求上传相应证明文件并进行电子签章。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声明</w:t>
            </w:r>
          </w:p>
        </w:tc>
        <w:tc>
          <w:tcPr>
            <w:tcW w:type="dxa" w:w="3322"/>
          </w:tcPr>
          <w:p>
            <w:pPr>
              <w:pStyle w:val="null3"/>
            </w:pPr>
            <w:r>
              <w:rPr>
                <w:rFonts w:ascii="仿宋_GB2312" w:hAnsi="仿宋_GB2312" w:cs="仿宋_GB2312" w:eastAsia="仿宋_GB2312"/>
              </w:rPr>
              <w:t>供应商提供具有履行合同所必需的设备和专业技术能力的声明；供应商应提供承诺书，格式及内容具体参见“响应文件格式”</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本项目不接受联合体响应，不允许分包</w:t>
            </w:r>
          </w:p>
        </w:tc>
        <w:tc>
          <w:tcPr>
            <w:tcW w:type="dxa" w:w="3322"/>
          </w:tcPr>
          <w:p>
            <w:pPr>
              <w:pStyle w:val="null3"/>
            </w:pPr>
            <w:r>
              <w:rPr>
                <w:rFonts w:ascii="仿宋_GB2312" w:hAnsi="仿宋_GB2312" w:cs="仿宋_GB2312" w:eastAsia="仿宋_GB2312"/>
              </w:rPr>
              <w:t>供应商提供《非联合体、不分包投标声明》，视为独立响应，不分包；供应商应提供承诺书，格式及内容具体参见“响应文件格式”。</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供应商名称和公章、营业执照一致。</w:t>
            </w:r>
          </w:p>
        </w:tc>
        <w:tc>
          <w:tcPr>
            <w:tcW w:type="dxa" w:w="1661"/>
          </w:tcPr>
          <w:p>
            <w:pPr>
              <w:pStyle w:val="null3"/>
            </w:pPr>
            <w:r>
              <w:rPr>
                <w:rFonts w:ascii="仿宋_GB2312" w:hAnsi="仿宋_GB2312" w:cs="仿宋_GB2312" w:eastAsia="仿宋_GB2312"/>
              </w:rPr>
              <w:t>响应文件封面 供应商认为应提交的其他资料.docx 磋商响应方案.docx 技术要求响应表.docx 服务方案 标的清单 报价表 响应函 资格证明文件.docx 商务条款偏离表.docx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供应商报价</w:t>
            </w:r>
          </w:p>
        </w:tc>
        <w:tc>
          <w:tcPr>
            <w:tcW w:type="dxa" w:w="3322"/>
          </w:tcPr>
          <w:p>
            <w:pPr>
              <w:pStyle w:val="null3"/>
            </w:pPr>
            <w:r>
              <w:rPr>
                <w:rFonts w:ascii="仿宋_GB2312" w:hAnsi="仿宋_GB2312" w:cs="仿宋_GB2312" w:eastAsia="仿宋_GB2312"/>
              </w:rPr>
              <w:t>完整无缺项，未超过最高限价(单价限价)， 无选择性报价。</w:t>
            </w:r>
          </w:p>
        </w:tc>
        <w:tc>
          <w:tcPr>
            <w:tcW w:type="dxa" w:w="1661"/>
          </w:tcPr>
          <w:p>
            <w:pPr>
              <w:pStyle w:val="null3"/>
            </w:pPr>
            <w:r>
              <w:rPr>
                <w:rFonts w:ascii="仿宋_GB2312" w:hAnsi="仿宋_GB2312" w:cs="仿宋_GB2312" w:eastAsia="仿宋_GB2312"/>
              </w:rPr>
              <w:t>响应文件封面 供应商认为应提交的其他资料.docx 磋商响应方案.docx 技术要求响应表.docx 服务方案 标的清单 报价表 响应函 资格证明文件.docx 商务条款偏离表.docx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磋商响应文件的有效期</w:t>
            </w:r>
          </w:p>
        </w:tc>
        <w:tc>
          <w:tcPr>
            <w:tcW w:type="dxa" w:w="3322"/>
          </w:tcPr>
          <w:p>
            <w:pPr>
              <w:pStyle w:val="null3"/>
            </w:pPr>
            <w:r>
              <w:rPr>
                <w:rFonts w:ascii="仿宋_GB2312" w:hAnsi="仿宋_GB2312" w:cs="仿宋_GB2312" w:eastAsia="仿宋_GB2312"/>
              </w:rPr>
              <w:t>满足磋商文件中的规定</w:t>
            </w:r>
          </w:p>
        </w:tc>
        <w:tc>
          <w:tcPr>
            <w:tcW w:type="dxa" w:w="1661"/>
          </w:tcPr>
          <w:p>
            <w:pPr>
              <w:pStyle w:val="null3"/>
            </w:pPr>
            <w:r>
              <w:rPr>
                <w:rFonts w:ascii="仿宋_GB2312" w:hAnsi="仿宋_GB2312" w:cs="仿宋_GB2312" w:eastAsia="仿宋_GB2312"/>
              </w:rPr>
              <w:t>响应文件封面 供应商认为应提交的其他资料.docx 磋商响应方案.docx 技术要求响应表.docx 服务方案 标的清单 报价表 响应函 资格证明文件.docx 商务条款偏离表.docx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磋商响应文件签字、盖章</w:t>
            </w:r>
          </w:p>
        </w:tc>
        <w:tc>
          <w:tcPr>
            <w:tcW w:type="dxa" w:w="3322"/>
          </w:tcPr>
          <w:p>
            <w:pPr>
              <w:pStyle w:val="null3"/>
            </w:pPr>
            <w:r>
              <w:rPr>
                <w:rFonts w:ascii="仿宋_GB2312" w:hAnsi="仿宋_GB2312" w:cs="仿宋_GB2312" w:eastAsia="仿宋_GB2312"/>
              </w:rPr>
              <w:t>磋商响应文件的签字盖章合格有效</w:t>
            </w:r>
          </w:p>
        </w:tc>
        <w:tc>
          <w:tcPr>
            <w:tcW w:type="dxa" w:w="1661"/>
          </w:tcPr>
          <w:p>
            <w:pPr>
              <w:pStyle w:val="null3"/>
            </w:pPr>
            <w:r>
              <w:rPr>
                <w:rFonts w:ascii="仿宋_GB2312" w:hAnsi="仿宋_GB2312" w:cs="仿宋_GB2312" w:eastAsia="仿宋_GB2312"/>
              </w:rPr>
              <w:t>响应文件封面 供应商认为应提交的其他资料.docx 磋商响应方案.docx 技术要求响应表.docx 服务方案 标的清单 报价表 响应函 资格证明文件.docx 商务条款偏离表.docx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响应文件封面 供应商认为应提交的其他资料.docx 磋商响应方案.docx 技术要求响应表.docx 服务方案 标的清单 报价表 响应函 资格证明文件.docx 商务条款偏离表.docx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合同条款响应</w:t>
            </w:r>
          </w:p>
        </w:tc>
        <w:tc>
          <w:tcPr>
            <w:tcW w:type="dxa" w:w="3322"/>
          </w:tcPr>
          <w:p>
            <w:pPr>
              <w:pStyle w:val="null3"/>
            </w:pPr>
            <w:r>
              <w:rPr>
                <w:rFonts w:ascii="仿宋_GB2312" w:hAnsi="仿宋_GB2312" w:cs="仿宋_GB2312" w:eastAsia="仿宋_GB2312"/>
              </w:rPr>
              <w:t>完全理解并响应磋商文件合同条款的要求，且未含有采购人不能接受的附加条件的。</w:t>
            </w:r>
          </w:p>
        </w:tc>
        <w:tc>
          <w:tcPr>
            <w:tcW w:type="dxa" w:w="1661"/>
          </w:tcPr>
          <w:p>
            <w:pPr>
              <w:pStyle w:val="null3"/>
            </w:pPr>
            <w:r>
              <w:rPr>
                <w:rFonts w:ascii="仿宋_GB2312" w:hAnsi="仿宋_GB2312" w:cs="仿宋_GB2312" w:eastAsia="仿宋_GB2312"/>
              </w:rPr>
              <w:t>响应文件封面 供应商认为应提交的其他资料.docx 磋商响应方案.docx 技术要求响应表.docx 服务方案 标的清单 报价表 响应函 资格证明文件.docx 商务条款偏离表.docx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符合磋商文件的实质性要求</w:t>
            </w:r>
          </w:p>
        </w:tc>
        <w:tc>
          <w:tcPr>
            <w:tcW w:type="dxa" w:w="3322"/>
          </w:tcPr>
          <w:p>
            <w:pPr>
              <w:pStyle w:val="null3"/>
            </w:pPr>
            <w:r>
              <w:rPr>
                <w:rFonts w:ascii="仿宋_GB2312" w:hAnsi="仿宋_GB2312" w:cs="仿宋_GB2312" w:eastAsia="仿宋_GB2312"/>
              </w:rPr>
              <w:t>符合磋商文件的所有实质性要求</w:t>
            </w:r>
          </w:p>
        </w:tc>
        <w:tc>
          <w:tcPr>
            <w:tcW w:type="dxa" w:w="1661"/>
          </w:tcPr>
          <w:p>
            <w:pPr>
              <w:pStyle w:val="null3"/>
            </w:pPr>
            <w:r>
              <w:rPr>
                <w:rFonts w:ascii="仿宋_GB2312" w:hAnsi="仿宋_GB2312" w:cs="仿宋_GB2312" w:eastAsia="仿宋_GB2312"/>
              </w:rPr>
              <w:t>响应文件封面 供应商认为应提交的其他资料.docx 磋商响应方案.docx 技术要求响应表.docx 服务方案 标的清单 报价表 响应函 资格证明文件.docx 商务条款偏离表.docx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不属于磋商文件规定的无效情形</w:t>
            </w:r>
          </w:p>
        </w:tc>
        <w:tc>
          <w:tcPr>
            <w:tcW w:type="dxa" w:w="3322"/>
          </w:tcPr>
          <w:p>
            <w:pPr>
              <w:pStyle w:val="null3"/>
            </w:pPr>
            <w:r>
              <w:rPr>
                <w:rFonts w:ascii="仿宋_GB2312" w:hAnsi="仿宋_GB2312" w:cs="仿宋_GB2312" w:eastAsia="仿宋_GB2312"/>
              </w:rPr>
              <w:t>供应商按照采购文件要求上传磋商响应文件</w:t>
            </w:r>
          </w:p>
        </w:tc>
        <w:tc>
          <w:tcPr>
            <w:tcW w:type="dxa" w:w="1661"/>
          </w:tcPr>
          <w:p>
            <w:pPr>
              <w:pStyle w:val="null3"/>
            </w:pPr>
            <w:r>
              <w:rPr>
                <w:rFonts w:ascii="仿宋_GB2312" w:hAnsi="仿宋_GB2312" w:cs="仿宋_GB2312" w:eastAsia="仿宋_GB2312"/>
              </w:rPr>
              <w:t>响应文件封面 供应商认为应提交的其他资料.docx 磋商响应方案.docx 技术要求响应表.docx 服务方案 标的清单 报价表 响应函 资格证明文件.docx 商务条款偏离表.docx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一、评审内容 供应商针对本项目编制完善的服务方案，内容包含:①计划安排；②配件保障；③工作流程；④实施步骤；⑤工作制度。 二、评审标准 1.完整性：方案全面，对评审内容中的各项要求有详细描述； 2.可实施性：切合本项目实际情况，提出步骤清晰、合理的方案； 3.针对性：方案能够紧扣项目实际情况，内容科学合理。 三、赋分标准(满分30分) ①计划安排：每完全满足一个评审标准得2分，满分6分; ②配件保障:每完全满足一个评审标准得2分，满分6分; ③工作流程:每完全满足一个评审标准得2分，满分6分。 ④实施步骤:每完全满足一个评审标准得2分，满分6分。⑤工作制度:每完全满足一个评审标准得2分，满分6分。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磋商响应方案.docx</w:t>
            </w:r>
          </w:p>
        </w:tc>
      </w:tr>
      <w:tr>
        <w:tc>
          <w:tcPr>
            <w:tcW w:type="dxa" w:w="831"/>
            <w:vMerge/>
          </w:tcPr>
          <w:p/>
        </w:tc>
        <w:tc>
          <w:tcPr>
            <w:tcW w:type="dxa" w:w="1661"/>
          </w:tcPr>
          <w:p>
            <w:pPr>
              <w:pStyle w:val="null3"/>
            </w:pPr>
            <w:r>
              <w:rPr>
                <w:rFonts w:ascii="仿宋_GB2312" w:hAnsi="仿宋_GB2312" w:cs="仿宋_GB2312" w:eastAsia="仿宋_GB2312"/>
              </w:rPr>
              <w:t>服务质量保障措施</w:t>
            </w:r>
          </w:p>
        </w:tc>
        <w:tc>
          <w:tcPr>
            <w:tcW w:type="dxa" w:w="2492"/>
          </w:tcPr>
          <w:p>
            <w:pPr>
              <w:pStyle w:val="null3"/>
            </w:pPr>
            <w:r>
              <w:rPr>
                <w:rFonts w:ascii="仿宋_GB2312" w:hAnsi="仿宋_GB2312" w:cs="仿宋_GB2312" w:eastAsia="仿宋_GB2312"/>
              </w:rPr>
              <w:t>一、评审内容 供应商针对本项目编制完善的服务质量保障措施，内容包含:①质量控制措施；②服务进度保证措施；③确保质量的技术组织措施。 二、评审标准 1.完整性：方案必须全面，对评审内容中的各项要求有详细描述； 2.可实施性：切合本项目实际情况，提出步骤清晰、合理的方案； 3.针对性：方案能够紧扣项目实际情况，内容科学合理。 三、赋分标准(满分18分) ①质量控制措施：每完全满足一个评审标准得2分，满分6分； ②服务进度保证措施：每完全满足一个评审标准得2分，满分6分； ③确保质量的技术组织措施：每完全满足一个评审标准得2分，满分6分。</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磋商响应方案.docx</w:t>
            </w:r>
          </w:p>
        </w:tc>
      </w:tr>
      <w:tr>
        <w:tc>
          <w:tcPr>
            <w:tcW w:type="dxa" w:w="831"/>
            <w:vMerge/>
          </w:tcPr>
          <w:p/>
        </w:tc>
        <w:tc>
          <w:tcPr>
            <w:tcW w:type="dxa" w:w="1661"/>
          </w:tcPr>
          <w:p>
            <w:pPr>
              <w:pStyle w:val="null3"/>
            </w:pPr>
            <w:r>
              <w:rPr>
                <w:rFonts w:ascii="仿宋_GB2312" w:hAnsi="仿宋_GB2312" w:cs="仿宋_GB2312" w:eastAsia="仿宋_GB2312"/>
              </w:rPr>
              <w:t>人员配备管理方案</w:t>
            </w:r>
          </w:p>
        </w:tc>
        <w:tc>
          <w:tcPr>
            <w:tcW w:type="dxa" w:w="2492"/>
          </w:tcPr>
          <w:p>
            <w:pPr>
              <w:pStyle w:val="null3"/>
            </w:pPr>
            <w:r>
              <w:rPr>
                <w:rFonts w:ascii="仿宋_GB2312" w:hAnsi="仿宋_GB2312" w:cs="仿宋_GB2312" w:eastAsia="仿宋_GB2312"/>
              </w:rPr>
              <w:t>一、评审内容 供应商针对本项目编制完善的人员配备管理方案 ，内容包含：①项目组织构架；②岗位分工及责任制度；③人员管理制度； 二、评审标准 1、完整性：方案必须全面，对评审内容中的各项要求有详细描述； 2、可实施性：切合本项目实际情况，提出步骤清晰、合理的方案； 3、针对性：方案能够紧扣项目实际情况，内容科学合理。 三、赋分标准(满分18分) ①项目组织构架:每完全满足一个评审标准得2分，满分6分； ②岗位分工及责任制度:每完全满足一个评审标准得2分，满分6分; ③人员管理制度:每完全满足一个评审标准得2分，满分6分。</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磋商响应方案.docx</w:t>
            </w:r>
          </w:p>
        </w:tc>
      </w:tr>
      <w:tr>
        <w:tc>
          <w:tcPr>
            <w:tcW w:type="dxa" w:w="831"/>
            <w:vMerge/>
          </w:tcPr>
          <w:p/>
        </w:tc>
        <w:tc>
          <w:tcPr>
            <w:tcW w:type="dxa" w:w="1661"/>
          </w:tcPr>
          <w:p>
            <w:pPr>
              <w:pStyle w:val="null3"/>
            </w:pPr>
            <w:r>
              <w:rPr>
                <w:rFonts w:ascii="仿宋_GB2312" w:hAnsi="仿宋_GB2312" w:cs="仿宋_GB2312" w:eastAsia="仿宋_GB2312"/>
              </w:rPr>
              <w:t>突发事件处理方案</w:t>
            </w:r>
          </w:p>
        </w:tc>
        <w:tc>
          <w:tcPr>
            <w:tcW w:type="dxa" w:w="2492"/>
          </w:tcPr>
          <w:p>
            <w:pPr>
              <w:pStyle w:val="null3"/>
            </w:pPr>
            <w:r>
              <w:rPr>
                <w:rFonts w:ascii="仿宋_GB2312" w:hAnsi="仿宋_GB2312" w:cs="仿宋_GB2312" w:eastAsia="仿宋_GB2312"/>
              </w:rPr>
              <w:t>一、评审内容 供应商针对本项目编制完善的突发事件处理方案，内容包含：①应急预案；②应急保证措施； 二、评审标准 1.完整性:方案必须全面，对评审内容中的各项要求有详细描述； 2.可实施性:切合本项目实际情况，提出步骤清晰、合理的方案 3.针对性:方案能够紧扣项目实际情况，内容科学合理。 三、赋分标准(满分12分)①应急预案：每完全满足一个评审标准得2分，满分6分； ②应急保证措施：每完全满足一个评审标准得2分，满分6分。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一、评审内容 供应商针对本项目编制完善的服务承诺，内容包含:①承诺完全配合采购人的工作，确保人员的社保及相关费用准时准确按期缴纳；②保证所用配件是符合国家质量标准； 二、评审标准 1.完整性:方案必须全面，对评审内容中的各项要求有详细描述； 2.可实施性:切合本项目实际情况，提出步骤清晰、合理的方案; 3.针对性：方案能够紧扣项目实际情况，内容科学合理。 三、赋分标准(满分6分) ①承诺完全配合采购人的工作，确保人员的社保及相关费用准时准确按期缴纳:每完全满足一个评审标准得1分，满分3分; ②保证所用配件是符合国家质量标准:每完全满足一个评审标准得1分，满分3分。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一、评审内容： 供应商提供2024年1月1日至今（以合同签订日期为准）类似项目业绩，以合同复印件为准，每一份计2分，最多计6分。 二、评审标准：业绩证明材料（以磋商响应文件中提供的合同复印件为准，合同关键页复印件并加盖供应商公章，合同关键页内容须包含合同名称、签订双方名称、签订时间、主要服务内容、双方盖章页等）。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资格证明文件.docx</w:t>
            </w:r>
          </w:p>
          <w:p>
            <w:pPr>
              <w:pStyle w:val="null3"/>
            </w:pPr>
            <w:r>
              <w:rPr>
                <w:rFonts w:ascii="仿宋_GB2312" w:hAnsi="仿宋_GB2312" w:cs="仿宋_GB2312" w:eastAsia="仿宋_GB2312"/>
              </w:rPr>
              <w:t>磋商响应方案.docx</w:t>
            </w:r>
          </w:p>
          <w:p>
            <w:pPr>
              <w:pStyle w:val="null3"/>
            </w:pPr>
            <w:r>
              <w:rPr>
                <w:rFonts w:ascii="仿宋_GB2312" w:hAnsi="仿宋_GB2312" w:cs="仿宋_GB2312" w:eastAsia="仿宋_GB2312"/>
              </w:rPr>
              <w:t>供应商认为应提交的其他资料.docx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满足磋商文件要求且磋商报价最低的磋商报价为评审基准价，其价格分为满分。其他供应商的价格分统一按照下列公式计算： 磋商报价得分=（评审基准价/磋商报价）×价格权值×100 注：评标委员会二分之一以上专家认为某磋商报价有低于成本价嫌疑的，且供应商无法证明其价格合理性的，为无效报价。</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报价表</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详见附件：磋商响应方案.docx</w:t>
      </w:r>
    </w:p>
    <w:p>
      <w:pPr>
        <w:pStyle w:val="null3"/>
        <w:ind w:firstLine="960"/>
      </w:pPr>
      <w:r>
        <w:rPr>
          <w:rFonts w:ascii="仿宋_GB2312" w:hAnsi="仿宋_GB2312" w:cs="仿宋_GB2312" w:eastAsia="仿宋_GB2312"/>
        </w:rPr>
        <w:t>详见附件：商务条款偏离表.docx</w:t>
      </w:r>
    </w:p>
    <w:p>
      <w:pPr>
        <w:pStyle w:val="null3"/>
        <w:ind w:firstLine="960"/>
      </w:pPr>
      <w:r>
        <w:rPr>
          <w:rFonts w:ascii="仿宋_GB2312" w:hAnsi="仿宋_GB2312" w:cs="仿宋_GB2312" w:eastAsia="仿宋_GB2312"/>
        </w:rPr>
        <w:t>详见附件：技术要求响应表.docx</w:t>
      </w:r>
    </w:p>
    <w:p>
      <w:pPr>
        <w:pStyle w:val="null3"/>
        <w:ind w:firstLine="960"/>
      </w:pPr>
      <w:r>
        <w:rPr>
          <w:rFonts w:ascii="仿宋_GB2312" w:hAnsi="仿宋_GB2312" w:cs="仿宋_GB2312" w:eastAsia="仿宋_GB2312"/>
        </w:rPr>
        <w:t>详见附件：供应商认为应提交的其他资料.docx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详见附件：采购合同.docx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