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版本号：SCZD2026-DY-0900-00120260427001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2026年媒体宣传工作项目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SCZD2026-DY-0900-001</w:t>
      </w:r>
      <w:r>
        <w:br/>
      </w:r>
      <w:r>
        <w:br/>
      </w:r>
      <w:r>
        <w:br/>
      </w:r>
    </w:p>
    <w:p>
      <w:pPr>
        <w:pStyle w:val="null3"/>
        <w:jc w:val="center"/>
        <w:outlineLvl w:val="5"/>
      </w:pPr>
      <w:r>
        <w:rPr>
          <w:rFonts w:ascii="仿宋_GB2312" w:hAnsi="仿宋_GB2312" w:cs="仿宋_GB2312" w:eastAsia="仿宋_GB2312"/>
          <w:sz w:val="15"/>
          <w:b/>
        </w:rPr>
        <w:t>西安市中心医院</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2026年媒体宣传工作项目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SCZD2026-DY-0900-001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2026年媒体宣传工作项目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西安市中心医院2026年媒体宣传工作项目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4、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5、法律、行政法规规定的其他条件：不存在违反法律法规的情况</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采购包1：50,000.00元</w:t>
            </w:r>
          </w:p>
          <w:p>
            <w:pPr>
              <w:pStyle w:val="null3"/>
            </w:pPr>
            <w:r>
              <w:rPr>
                <w:rFonts w:ascii="仿宋_GB2312" w:hAnsi="仿宋_GB2312" w:cs="仿宋_GB2312" w:eastAsia="仿宋_GB2312"/>
              </w:rPr>
              <w:t>采购包2：90,000.00元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采购包5：40,000.00元</w:t>
            </w:r>
          </w:p>
          <w:p>
            <w:pPr>
              <w:pStyle w:val="null3"/>
            </w:pPr>
            <w:r>
              <w:rPr>
                <w:rFonts w:ascii="仿宋_GB2312" w:hAnsi="仿宋_GB2312" w:cs="仿宋_GB2312" w:eastAsia="仿宋_GB2312"/>
              </w:rPr>
              <w:t>采购包6：60,000.00元</w:t>
            </w:r>
          </w:p>
          <w:p>
            <w:pPr>
              <w:pStyle w:val="null3"/>
            </w:pPr>
            <w:r>
              <w:rPr>
                <w:rFonts w:ascii="仿宋_GB2312" w:hAnsi="仿宋_GB2312" w:cs="仿宋_GB2312" w:eastAsia="仿宋_GB2312"/>
              </w:rPr>
              <w:t>采购包7：40,000.00元</w:t>
            </w:r>
          </w:p>
          <w:p>
            <w:pPr>
              <w:pStyle w:val="null3"/>
            </w:pPr>
            <w:r>
              <w:rPr>
                <w:rFonts w:ascii="仿宋_GB2312" w:hAnsi="仿宋_GB2312" w:cs="仿宋_GB2312" w:eastAsia="仿宋_GB2312"/>
              </w:rPr>
              <w:t>采购包8：40,000.00元</w:t>
            </w:r>
          </w:p>
          <w:p>
            <w:pPr>
              <w:pStyle w:val="null3"/>
            </w:pPr>
            <w:r>
              <w:rPr>
                <w:rFonts w:ascii="仿宋_GB2312" w:hAnsi="仿宋_GB2312" w:cs="仿宋_GB2312" w:eastAsia="仿宋_GB2312"/>
              </w:rPr>
              <w:t>采购包9：50,000.00元</w:t>
            </w:r>
          </w:p>
          <w:p>
            <w:pPr>
              <w:pStyle w:val="null3"/>
            </w:pPr>
            <w:r>
              <w:rPr>
                <w:rFonts w:ascii="仿宋_GB2312" w:hAnsi="仿宋_GB2312" w:cs="仿宋_GB2312" w:eastAsia="仿宋_GB2312"/>
              </w:rPr>
              <w:t>采购包10：60,000.00元</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采购包1：50,000.00元</w:t>
            </w:r>
          </w:p>
          <w:p>
            <w:pPr>
              <w:pStyle w:val="null3"/>
            </w:pPr>
            <w:r>
              <w:rPr>
                <w:rFonts w:ascii="仿宋_GB2312" w:hAnsi="仿宋_GB2312" w:cs="仿宋_GB2312" w:eastAsia="仿宋_GB2312"/>
              </w:rPr>
              <w:t>采购包2：90,000.00元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采购包5：40,000.00元</w:t>
            </w:r>
          </w:p>
          <w:p>
            <w:pPr>
              <w:pStyle w:val="null3"/>
            </w:pPr>
            <w:r>
              <w:rPr>
                <w:rFonts w:ascii="仿宋_GB2312" w:hAnsi="仿宋_GB2312" w:cs="仿宋_GB2312" w:eastAsia="仿宋_GB2312"/>
              </w:rPr>
              <w:t>采购包6：60,000.00元</w:t>
            </w:r>
          </w:p>
          <w:p>
            <w:pPr>
              <w:pStyle w:val="null3"/>
            </w:pPr>
            <w:r>
              <w:rPr>
                <w:rFonts w:ascii="仿宋_GB2312" w:hAnsi="仿宋_GB2312" w:cs="仿宋_GB2312" w:eastAsia="仿宋_GB2312"/>
              </w:rPr>
              <w:t>采购包7：40,000.00元</w:t>
            </w:r>
          </w:p>
          <w:p>
            <w:pPr>
              <w:pStyle w:val="null3"/>
            </w:pPr>
            <w:r>
              <w:rPr>
                <w:rFonts w:ascii="仿宋_GB2312" w:hAnsi="仿宋_GB2312" w:cs="仿宋_GB2312" w:eastAsia="仿宋_GB2312"/>
              </w:rPr>
              <w:t>采购包8：40,000.00元</w:t>
            </w:r>
          </w:p>
          <w:p>
            <w:pPr>
              <w:pStyle w:val="null3"/>
            </w:pPr>
            <w:r>
              <w:rPr>
                <w:rFonts w:ascii="仿宋_GB2312" w:hAnsi="仿宋_GB2312" w:cs="仿宋_GB2312" w:eastAsia="仿宋_GB2312"/>
              </w:rPr>
              <w:t>采购包9：50,000.00元</w:t>
            </w:r>
          </w:p>
          <w:p>
            <w:pPr>
              <w:pStyle w:val="null3"/>
            </w:pPr>
            <w:r>
              <w:rPr>
                <w:rFonts w:ascii="仿宋_GB2312" w:hAnsi="仿宋_GB2312" w:cs="仿宋_GB2312" w:eastAsia="仿宋_GB2312"/>
              </w:rPr>
              <w:t>采购包10：60,000.00元</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西安市中心医院2026年媒体宣传工作项目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搜狐网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华商报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腾讯网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央广网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西部网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阳光报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新浪网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健康报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西安广播电视台(电视)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华商网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西安日报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西安晚报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人民日报数字传媒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标的名称：搜狐网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标的名称：华商报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标的名称：腾讯网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标的名称：央广网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标的名称：西部网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标的名称：阳光报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标的名称：新浪网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标的名称：中国网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标的名称：健康报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标的名称：西安广播电视台(电视)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标的名称：华商网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标的名称：西安日报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标的名称：西安晚报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标的名称：人民日报数字传媒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为扩大医院的影响力，加大医院宣传力度，提高医院知名度，对医院新技术、新业务进行广泛的宣传，增加医院患者就诊量。</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1.充分了解用户需求，收集用户反馈，分析用户行为及需求。</w:t>
            </w:r>
          </w:p>
          <w:p>
            <w:pPr>
              <w:pStyle w:val="null3"/>
              <w:ind w:firstLine="480"/>
              <w:jc w:val="left"/>
            </w:pPr>
            <w:r>
              <w:rPr>
                <w:rFonts w:ascii="仿宋_GB2312" w:hAnsi="仿宋_GB2312" w:cs="仿宋_GB2312" w:eastAsia="仿宋_GB2312"/>
                <w:sz w:val="24"/>
              </w:rPr>
              <w:t>2.紧跟微信发展趋势，广泛关注标杆性公众号，积极探索微信运营模式；</w:t>
            </w:r>
          </w:p>
          <w:p>
            <w:pPr>
              <w:pStyle w:val="null3"/>
              <w:ind w:firstLine="480"/>
              <w:jc w:val="left"/>
            </w:pPr>
            <w:r>
              <w:rPr>
                <w:rFonts w:ascii="仿宋_GB2312" w:hAnsi="仿宋_GB2312" w:cs="仿宋_GB2312" w:eastAsia="仿宋_GB2312"/>
                <w:sz w:val="24"/>
              </w:rPr>
              <w:t>3.负责策划并执行微信营销线日常活动及跟踪维护，根据项目发送各种微信内容；</w:t>
            </w:r>
          </w:p>
          <w:p>
            <w:pPr>
              <w:pStyle w:val="null3"/>
              <w:ind w:firstLine="480"/>
              <w:jc w:val="left"/>
            </w:pPr>
            <w:r>
              <w:rPr>
                <w:rFonts w:ascii="仿宋_GB2312" w:hAnsi="仿宋_GB2312" w:cs="仿宋_GB2312" w:eastAsia="仿宋_GB2312"/>
                <w:sz w:val="24"/>
              </w:rPr>
              <w:t>4.挖掘和分析网友使用习惯、情感及体验感受，及时掌握新闻热点，有效完成专题策划活动；</w:t>
            </w:r>
          </w:p>
          <w:p>
            <w:pPr>
              <w:pStyle w:val="null3"/>
              <w:ind w:firstLine="480"/>
              <w:jc w:val="left"/>
            </w:pPr>
            <w:r>
              <w:rPr>
                <w:rFonts w:ascii="仿宋_GB2312" w:hAnsi="仿宋_GB2312" w:cs="仿宋_GB2312" w:eastAsia="仿宋_GB2312"/>
                <w:sz w:val="24"/>
              </w:rPr>
              <w:t>5负责移动互联网自媒体平台（微信、微博、手机终端为主）的推广工作。</w:t>
            </w:r>
          </w:p>
          <w:p>
            <w:pPr>
              <w:pStyle w:val="null3"/>
              <w:jc w:val="left"/>
            </w:pPr>
            <w:r>
              <w:rPr>
                <w:rFonts w:ascii="仿宋_GB2312" w:hAnsi="仿宋_GB2312" w:cs="仿宋_GB2312" w:eastAsia="仿宋_GB2312"/>
                <w:sz w:val="24"/>
                <w:b/>
              </w:rPr>
              <w:t>三、服务要求</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jc w:val="left"/>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2026年度。</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服务期限结束且经甲方验收合格后，一次性无息付清全款。</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2026年度。</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服务期限结束且经甲方验收合格后，一次性无息付清全款。乙方应于甲方付款前按照甲方要求提供等额合规发票，否则，甲方有权拒付合同款项，且不承担任何责任，乙方亦不得以此为由拒绝履行任意合同义务。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响应函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