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61FA59">
      <w:pPr>
        <w:widowControl/>
        <w:ind w:firstLine="640" w:firstLineChars="200"/>
        <w:jc w:val="center"/>
        <w:outlineLvl w:val="0"/>
        <w:rPr>
          <w:rStyle w:val="13"/>
          <w:rFonts w:hint="eastAsia" w:ascii="仿宋" w:hAnsi="仿宋" w:eastAsia="仿宋" w:cs="仿宋"/>
          <w:sz w:val="32"/>
          <w:szCs w:val="21"/>
          <w:highlight w:val="none"/>
          <w:lang w:val="zh-CN"/>
        </w:rPr>
      </w:pPr>
      <w:r>
        <w:rPr>
          <w:rStyle w:val="13"/>
          <w:rFonts w:hint="eastAsia" w:ascii="仿宋" w:hAnsi="仿宋" w:eastAsia="仿宋" w:cs="仿宋"/>
          <w:sz w:val="32"/>
          <w:szCs w:val="21"/>
          <w:highlight w:val="none"/>
          <w:lang w:val="zh-CN"/>
        </w:rPr>
        <w:t xml:space="preserve"> 拟签订合同文本</w:t>
      </w:r>
    </w:p>
    <w:p w14:paraId="4DAF9AB5">
      <w:pPr>
        <w:spacing w:line="360" w:lineRule="auto"/>
        <w:rPr>
          <w:rFonts w:hint="eastAsia" w:ascii="仿宋" w:hAnsi="仿宋" w:eastAsia="仿宋" w:cs="仿宋"/>
          <w:b/>
          <w:kern w:val="44"/>
          <w:sz w:val="32"/>
          <w:highlight w:val="none"/>
        </w:rPr>
      </w:pPr>
    </w:p>
    <w:p w14:paraId="3AEDFE62">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napToGrid w:val="0"/>
          <w:color w:val="auto"/>
          <w:sz w:val="28"/>
          <w:szCs w:val="28"/>
          <w:highlight w:val="none"/>
          <w:lang w:val="en-US" w:eastAsia="zh-CN"/>
        </w:rPr>
      </w:pPr>
      <w:r>
        <w:rPr>
          <w:rFonts w:hint="eastAsia" w:ascii="仿宋" w:hAnsi="仿宋" w:eastAsia="仿宋" w:cs="仿宋"/>
          <w:snapToGrid w:val="0"/>
          <w:color w:val="auto"/>
          <w:sz w:val="28"/>
          <w:szCs w:val="28"/>
          <w:highlight w:val="none"/>
          <w:lang w:val="en-US" w:eastAsia="zh-CN"/>
        </w:rPr>
        <w:t>甲方：西安市中心医院</w:t>
      </w:r>
    </w:p>
    <w:p w14:paraId="1534DF48">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napToGrid w:val="0"/>
          <w:color w:val="auto"/>
          <w:sz w:val="28"/>
          <w:szCs w:val="28"/>
          <w:highlight w:val="none"/>
          <w:lang w:val="en-US" w:eastAsia="zh-CN"/>
        </w:rPr>
      </w:pPr>
      <w:r>
        <w:rPr>
          <w:rFonts w:hint="eastAsia" w:ascii="仿宋" w:hAnsi="仿宋" w:eastAsia="仿宋" w:cs="仿宋"/>
          <w:snapToGrid w:val="0"/>
          <w:color w:val="auto"/>
          <w:sz w:val="28"/>
          <w:szCs w:val="28"/>
          <w:highlight w:val="none"/>
          <w:lang w:val="en-US" w:eastAsia="zh-CN"/>
        </w:rPr>
        <w:t>乙方：</w:t>
      </w:r>
    </w:p>
    <w:p w14:paraId="2F3EEE3E">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napToGrid w:val="0"/>
          <w:color w:val="auto"/>
          <w:sz w:val="28"/>
          <w:szCs w:val="28"/>
          <w:highlight w:val="none"/>
          <w:lang w:val="en-US" w:eastAsia="zh-CN"/>
        </w:rPr>
      </w:pPr>
    </w:p>
    <w:p w14:paraId="0B777E2E">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napToGrid w:val="0"/>
          <w:color w:val="auto"/>
          <w:sz w:val="28"/>
          <w:szCs w:val="28"/>
          <w:highlight w:val="none"/>
          <w:lang w:val="en-US" w:eastAsia="zh-CN"/>
        </w:rPr>
      </w:pPr>
      <w:r>
        <w:rPr>
          <w:rFonts w:hint="eastAsia" w:ascii="仿宋" w:hAnsi="仿宋" w:eastAsia="仿宋" w:cs="仿宋"/>
          <w:snapToGrid w:val="0"/>
          <w:color w:val="auto"/>
          <w:sz w:val="28"/>
          <w:szCs w:val="28"/>
          <w:highlight w:val="none"/>
          <w:lang w:val="en-US" w:eastAsia="zh-CN"/>
        </w:rPr>
        <w:t>西安市中心医院（以下简称“甲方”），与</w:t>
      </w:r>
      <w:r>
        <w:rPr>
          <w:rFonts w:hint="eastAsia" w:ascii="仿宋" w:hAnsi="仿宋" w:eastAsia="仿宋" w:cs="仿宋"/>
          <w:snapToGrid w:val="0"/>
          <w:color w:val="auto"/>
          <w:sz w:val="28"/>
          <w:szCs w:val="28"/>
          <w:highlight w:val="none"/>
          <w:u w:val="single"/>
          <w:lang w:val="en-US" w:eastAsia="zh-CN"/>
        </w:rPr>
        <w:t xml:space="preserve">           </w:t>
      </w:r>
      <w:r>
        <w:rPr>
          <w:rFonts w:hint="eastAsia" w:ascii="仿宋" w:hAnsi="仿宋" w:eastAsia="仿宋" w:cs="仿宋"/>
          <w:snapToGrid w:val="0"/>
          <w:color w:val="auto"/>
          <w:sz w:val="28"/>
          <w:szCs w:val="28"/>
          <w:highlight w:val="none"/>
          <w:lang w:val="en-US" w:eastAsia="zh-CN"/>
        </w:rPr>
        <w:t>（以下简称“乙方”）经友好协商，就甲方委托乙方完成“</w:t>
      </w:r>
      <w:r>
        <w:rPr>
          <w:rFonts w:hint="eastAsia" w:ascii="仿宋" w:hAnsi="仿宋" w:eastAsia="仿宋" w:cs="仿宋"/>
          <w:snapToGrid w:val="0"/>
          <w:color w:val="auto"/>
          <w:sz w:val="28"/>
          <w:szCs w:val="28"/>
          <w:highlight w:val="none"/>
          <w:u w:val="single"/>
          <w:lang w:val="en-US" w:eastAsia="zh-CN"/>
        </w:rPr>
        <w:t xml:space="preserve">        </w:t>
      </w:r>
      <w:r>
        <w:rPr>
          <w:rFonts w:hint="eastAsia" w:ascii="仿宋" w:hAnsi="仿宋" w:eastAsia="仿宋" w:cs="仿宋"/>
          <w:snapToGrid w:val="0"/>
          <w:color w:val="auto"/>
          <w:sz w:val="28"/>
          <w:szCs w:val="28"/>
          <w:highlight w:val="none"/>
          <w:lang w:val="en-US" w:eastAsia="zh-CN"/>
        </w:rPr>
        <w:t>”事宜，签订如下协议。</w:t>
      </w:r>
    </w:p>
    <w:p w14:paraId="3A855373">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napToGrid w:val="0"/>
          <w:color w:val="auto"/>
          <w:sz w:val="28"/>
          <w:szCs w:val="28"/>
          <w:highlight w:val="none"/>
          <w:lang w:val="en-US" w:eastAsia="zh-CN"/>
        </w:rPr>
      </w:pPr>
      <w:r>
        <w:rPr>
          <w:rFonts w:hint="eastAsia" w:ascii="仿宋" w:hAnsi="仿宋" w:eastAsia="仿宋" w:cs="仿宋"/>
          <w:snapToGrid w:val="0"/>
          <w:color w:val="auto"/>
          <w:sz w:val="28"/>
          <w:szCs w:val="28"/>
          <w:highlight w:val="none"/>
          <w:lang w:val="en-US" w:eastAsia="zh-CN"/>
        </w:rPr>
        <w:t>乙方承诺按照如下所述的具体内</w:t>
      </w:r>
      <w:bookmarkStart w:id="0" w:name="_GoBack"/>
      <w:bookmarkEnd w:id="0"/>
      <w:r>
        <w:rPr>
          <w:rFonts w:hint="eastAsia" w:ascii="仿宋" w:hAnsi="仿宋" w:eastAsia="仿宋" w:cs="仿宋"/>
          <w:snapToGrid w:val="0"/>
          <w:color w:val="auto"/>
          <w:sz w:val="28"/>
          <w:szCs w:val="28"/>
          <w:highlight w:val="none"/>
          <w:lang w:val="en-US" w:eastAsia="zh-CN"/>
        </w:rPr>
        <w:t>容执行：</w:t>
      </w:r>
    </w:p>
    <w:p w14:paraId="1B0EA711">
      <w:pPr>
        <w:keepNext w:val="0"/>
        <w:keepLines w:val="0"/>
        <w:pageBreakBefore w:val="0"/>
        <w:kinsoku/>
        <w:wordWrap/>
        <w:overflowPunct/>
        <w:topLinePunct w:val="0"/>
        <w:autoSpaceDE/>
        <w:autoSpaceDN/>
        <w:bidi w:val="0"/>
        <w:adjustRightInd/>
        <w:snapToGrid w:val="0"/>
        <w:spacing w:line="360" w:lineRule="auto"/>
        <w:textAlignment w:val="auto"/>
        <w:rPr>
          <w:rFonts w:hint="default" w:ascii="仿宋" w:hAnsi="仿宋" w:eastAsia="仿宋" w:cs="仿宋"/>
          <w:b/>
          <w:bCs/>
          <w:snapToGrid w:val="0"/>
          <w:color w:val="auto"/>
          <w:sz w:val="28"/>
          <w:szCs w:val="28"/>
          <w:highlight w:val="none"/>
          <w:lang w:val="en-US" w:eastAsia="zh-CN"/>
        </w:rPr>
      </w:pPr>
      <w:r>
        <w:rPr>
          <w:rFonts w:hint="eastAsia" w:ascii="仿宋" w:hAnsi="仿宋" w:eastAsia="仿宋" w:cs="仿宋"/>
          <w:b/>
          <w:bCs/>
          <w:snapToGrid w:val="0"/>
          <w:color w:val="auto"/>
          <w:sz w:val="28"/>
          <w:szCs w:val="28"/>
          <w:highlight w:val="none"/>
          <w:lang w:val="en-US" w:eastAsia="zh-CN"/>
        </w:rPr>
        <w:t>一、服务内容</w:t>
      </w:r>
    </w:p>
    <w:p w14:paraId="113F8E5E">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napToGrid w:val="0"/>
          <w:color w:val="auto"/>
          <w:sz w:val="28"/>
          <w:szCs w:val="28"/>
          <w:highlight w:val="none"/>
          <w:lang w:val="en-US" w:eastAsia="zh-Hans"/>
        </w:rPr>
      </w:pPr>
      <w:r>
        <w:rPr>
          <w:rFonts w:hint="eastAsia" w:ascii="仿宋" w:hAnsi="仿宋" w:eastAsia="仿宋" w:cs="仿宋"/>
          <w:snapToGrid w:val="0"/>
          <w:color w:val="auto"/>
          <w:sz w:val="28"/>
          <w:szCs w:val="28"/>
          <w:highlight w:val="none"/>
          <w:lang w:val="en-US" w:eastAsia="zh-Hans"/>
        </w:rPr>
        <w:t>1</w:t>
      </w:r>
      <w:r>
        <w:rPr>
          <w:rFonts w:hint="eastAsia" w:ascii="仿宋" w:hAnsi="仿宋" w:eastAsia="仿宋" w:cs="仿宋"/>
          <w:snapToGrid w:val="0"/>
          <w:color w:val="auto"/>
          <w:sz w:val="28"/>
          <w:szCs w:val="28"/>
          <w:highlight w:val="none"/>
          <w:lang w:val="en-US" w:eastAsia="zh-CN"/>
        </w:rPr>
        <w:t>、</w:t>
      </w:r>
      <w:r>
        <w:rPr>
          <w:rFonts w:hint="eastAsia" w:ascii="仿宋" w:hAnsi="仿宋" w:eastAsia="仿宋" w:cs="仿宋"/>
          <w:snapToGrid w:val="0"/>
          <w:color w:val="auto"/>
          <w:sz w:val="28"/>
          <w:szCs w:val="28"/>
          <w:highlight w:val="none"/>
          <w:lang w:val="en-US" w:eastAsia="zh-Hans"/>
        </w:rPr>
        <w:t>为扩大医院的影响力，加大医院宣传力度，提高医院知名度，对医院新技术、新业务进行广泛的宣传，增加医院患者就诊量</w:t>
      </w:r>
      <w:r>
        <w:rPr>
          <w:rFonts w:hint="eastAsia" w:ascii="仿宋" w:hAnsi="仿宋" w:eastAsia="仿宋" w:cs="仿宋"/>
          <w:snapToGrid w:val="0"/>
          <w:color w:val="auto"/>
          <w:sz w:val="28"/>
          <w:szCs w:val="28"/>
          <w:highlight w:val="none"/>
          <w:lang w:val="en-US" w:eastAsia="zh-CN"/>
        </w:rPr>
        <w:t>，</w:t>
      </w:r>
      <w:r>
        <w:rPr>
          <w:rFonts w:hint="eastAsia" w:ascii="仿宋" w:hAnsi="仿宋" w:eastAsia="仿宋" w:cs="仿宋"/>
          <w:snapToGrid w:val="0"/>
          <w:color w:val="auto"/>
          <w:sz w:val="28"/>
          <w:szCs w:val="28"/>
          <w:highlight w:val="none"/>
          <w:lang w:val="en-US" w:eastAsia="zh-Hans"/>
        </w:rPr>
        <w:t>甲乙双方根据《中华人民共和国</w:t>
      </w:r>
      <w:r>
        <w:rPr>
          <w:rFonts w:hint="eastAsia" w:ascii="仿宋" w:hAnsi="仿宋" w:eastAsia="仿宋" w:cs="仿宋"/>
          <w:snapToGrid w:val="0"/>
          <w:color w:val="auto"/>
          <w:sz w:val="28"/>
          <w:szCs w:val="28"/>
          <w:highlight w:val="none"/>
          <w:lang w:val="en-US" w:eastAsia="zh-CN"/>
        </w:rPr>
        <w:t>民法典</w:t>
      </w:r>
      <w:r>
        <w:rPr>
          <w:rFonts w:hint="eastAsia" w:ascii="仿宋" w:hAnsi="仿宋" w:eastAsia="仿宋" w:cs="仿宋"/>
          <w:snapToGrid w:val="0"/>
          <w:color w:val="auto"/>
          <w:sz w:val="28"/>
          <w:szCs w:val="28"/>
          <w:highlight w:val="none"/>
          <w:lang w:val="en-US" w:eastAsia="zh-Hans"/>
        </w:rPr>
        <w:t>》及相关法律法规之规定,就甲方委托乙方进行宣传合作事宜，经过友好协商，签订本合同，以资信守。</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3"/>
        <w:gridCol w:w="1674"/>
        <w:gridCol w:w="1675"/>
        <w:gridCol w:w="1750"/>
        <w:gridCol w:w="1750"/>
      </w:tblGrid>
      <w:tr w14:paraId="317D2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857" w:type="dxa"/>
            <w:vAlign w:val="center"/>
          </w:tcPr>
          <w:p w14:paraId="18EBD6EF">
            <w:pPr>
              <w:pStyle w:val="14"/>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8"/>
                <w:szCs w:val="28"/>
                <w:highlight w:val="none"/>
                <w:vertAlign w:val="baseline"/>
                <w:lang w:val="en-US" w:eastAsia="zh-CN"/>
              </w:rPr>
            </w:pPr>
            <w:r>
              <w:rPr>
                <w:rFonts w:hint="eastAsia" w:ascii="仿宋" w:hAnsi="仿宋" w:eastAsia="仿宋" w:cs="仿宋"/>
                <w:sz w:val="28"/>
                <w:szCs w:val="28"/>
                <w:highlight w:val="none"/>
                <w:vertAlign w:val="baseline"/>
                <w:lang w:val="en-US" w:eastAsia="zh-CN"/>
              </w:rPr>
              <w:t>项目</w:t>
            </w:r>
          </w:p>
        </w:tc>
        <w:tc>
          <w:tcPr>
            <w:tcW w:w="1857" w:type="dxa"/>
            <w:vAlign w:val="center"/>
          </w:tcPr>
          <w:p w14:paraId="1F2745F0">
            <w:pPr>
              <w:pStyle w:val="14"/>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8"/>
                <w:szCs w:val="28"/>
                <w:highlight w:val="none"/>
                <w:vertAlign w:val="baseline"/>
                <w:lang w:val="en-US" w:eastAsia="zh-CN"/>
              </w:rPr>
            </w:pPr>
            <w:r>
              <w:rPr>
                <w:rFonts w:hint="eastAsia" w:ascii="仿宋" w:hAnsi="仿宋" w:eastAsia="仿宋" w:cs="仿宋"/>
                <w:sz w:val="28"/>
                <w:szCs w:val="28"/>
                <w:highlight w:val="none"/>
                <w:vertAlign w:val="baseline"/>
                <w:lang w:val="en-US" w:eastAsia="zh-CN"/>
              </w:rPr>
              <w:t>内容</w:t>
            </w:r>
          </w:p>
        </w:tc>
        <w:tc>
          <w:tcPr>
            <w:tcW w:w="1858" w:type="dxa"/>
            <w:vAlign w:val="center"/>
          </w:tcPr>
          <w:p w14:paraId="369C99DA">
            <w:pPr>
              <w:pStyle w:val="14"/>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8"/>
                <w:szCs w:val="28"/>
                <w:highlight w:val="none"/>
                <w:vertAlign w:val="baseline"/>
                <w:lang w:val="en-US" w:eastAsia="zh-CN"/>
              </w:rPr>
            </w:pPr>
            <w:r>
              <w:rPr>
                <w:rFonts w:hint="eastAsia" w:ascii="仿宋" w:hAnsi="仿宋" w:eastAsia="仿宋" w:cs="仿宋"/>
                <w:sz w:val="28"/>
                <w:szCs w:val="28"/>
                <w:highlight w:val="none"/>
                <w:vertAlign w:val="baseline"/>
                <w:lang w:val="en-US" w:eastAsia="zh-CN"/>
              </w:rPr>
              <w:t>数量</w:t>
            </w:r>
          </w:p>
        </w:tc>
        <w:tc>
          <w:tcPr>
            <w:tcW w:w="1858" w:type="dxa"/>
            <w:vAlign w:val="center"/>
          </w:tcPr>
          <w:p w14:paraId="7570A781">
            <w:pPr>
              <w:pStyle w:val="14"/>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8"/>
                <w:szCs w:val="28"/>
                <w:highlight w:val="none"/>
                <w:vertAlign w:val="baseline"/>
                <w:lang w:val="en-US" w:eastAsia="zh-CN"/>
              </w:rPr>
            </w:pPr>
            <w:r>
              <w:rPr>
                <w:rFonts w:hint="eastAsia" w:ascii="仿宋" w:hAnsi="仿宋" w:eastAsia="仿宋" w:cs="仿宋"/>
                <w:sz w:val="28"/>
                <w:szCs w:val="28"/>
                <w:highlight w:val="none"/>
                <w:vertAlign w:val="baseline"/>
                <w:lang w:val="en-US" w:eastAsia="zh-CN"/>
              </w:rPr>
              <w:t>单价（元）</w:t>
            </w:r>
          </w:p>
        </w:tc>
        <w:tc>
          <w:tcPr>
            <w:tcW w:w="1858" w:type="dxa"/>
            <w:vAlign w:val="center"/>
          </w:tcPr>
          <w:p w14:paraId="68E92FBC">
            <w:pPr>
              <w:pStyle w:val="14"/>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8"/>
                <w:szCs w:val="28"/>
                <w:highlight w:val="none"/>
                <w:vertAlign w:val="baseline"/>
                <w:lang w:val="en-US" w:eastAsia="zh-Hans"/>
              </w:rPr>
            </w:pPr>
            <w:r>
              <w:rPr>
                <w:rFonts w:hint="eastAsia" w:ascii="仿宋" w:hAnsi="仿宋" w:eastAsia="仿宋" w:cs="仿宋"/>
                <w:sz w:val="28"/>
                <w:szCs w:val="28"/>
                <w:highlight w:val="none"/>
                <w:vertAlign w:val="baseline"/>
                <w:lang w:val="en-US" w:eastAsia="zh-CN"/>
              </w:rPr>
              <w:t>总价（元）</w:t>
            </w:r>
          </w:p>
        </w:tc>
      </w:tr>
      <w:tr w14:paraId="5174D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857" w:type="dxa"/>
            <w:vAlign w:val="center"/>
          </w:tcPr>
          <w:p w14:paraId="1BF4530F">
            <w:pPr>
              <w:pStyle w:val="14"/>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8"/>
                <w:szCs w:val="28"/>
                <w:highlight w:val="none"/>
                <w:vertAlign w:val="baseline"/>
                <w:lang w:val="en-US" w:eastAsia="zh-Hans"/>
              </w:rPr>
            </w:pPr>
          </w:p>
        </w:tc>
        <w:tc>
          <w:tcPr>
            <w:tcW w:w="1857" w:type="dxa"/>
            <w:vAlign w:val="center"/>
          </w:tcPr>
          <w:p w14:paraId="6B40A4AF">
            <w:pPr>
              <w:pStyle w:val="14"/>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8"/>
                <w:szCs w:val="28"/>
                <w:highlight w:val="none"/>
                <w:vertAlign w:val="baseline"/>
                <w:lang w:val="en-US" w:eastAsia="zh-Hans"/>
              </w:rPr>
            </w:pPr>
          </w:p>
        </w:tc>
        <w:tc>
          <w:tcPr>
            <w:tcW w:w="1858" w:type="dxa"/>
            <w:vAlign w:val="center"/>
          </w:tcPr>
          <w:p w14:paraId="594E5341">
            <w:pPr>
              <w:pStyle w:val="14"/>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8"/>
                <w:szCs w:val="28"/>
                <w:highlight w:val="none"/>
                <w:vertAlign w:val="baseline"/>
                <w:lang w:val="en-US" w:eastAsia="zh-Hans"/>
              </w:rPr>
            </w:pPr>
          </w:p>
        </w:tc>
        <w:tc>
          <w:tcPr>
            <w:tcW w:w="1858" w:type="dxa"/>
            <w:vAlign w:val="center"/>
          </w:tcPr>
          <w:p w14:paraId="14465D94">
            <w:pPr>
              <w:pStyle w:val="14"/>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8"/>
                <w:szCs w:val="28"/>
                <w:highlight w:val="none"/>
                <w:vertAlign w:val="baseline"/>
                <w:lang w:val="en-US" w:eastAsia="zh-Hans"/>
              </w:rPr>
            </w:pPr>
          </w:p>
        </w:tc>
        <w:tc>
          <w:tcPr>
            <w:tcW w:w="1858" w:type="dxa"/>
            <w:vAlign w:val="center"/>
          </w:tcPr>
          <w:p w14:paraId="65E98392">
            <w:pPr>
              <w:pStyle w:val="14"/>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8"/>
                <w:szCs w:val="28"/>
                <w:highlight w:val="none"/>
                <w:vertAlign w:val="baseline"/>
                <w:lang w:val="en-US" w:eastAsia="zh-Hans"/>
              </w:rPr>
            </w:pPr>
          </w:p>
        </w:tc>
      </w:tr>
      <w:tr w14:paraId="57EAE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857" w:type="dxa"/>
            <w:vAlign w:val="center"/>
          </w:tcPr>
          <w:p w14:paraId="783F2797">
            <w:pPr>
              <w:pStyle w:val="14"/>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8"/>
                <w:szCs w:val="28"/>
                <w:highlight w:val="none"/>
                <w:vertAlign w:val="baseline"/>
                <w:lang w:val="en-US" w:eastAsia="zh-Hans"/>
              </w:rPr>
            </w:pPr>
          </w:p>
        </w:tc>
        <w:tc>
          <w:tcPr>
            <w:tcW w:w="1857" w:type="dxa"/>
            <w:vAlign w:val="center"/>
          </w:tcPr>
          <w:p w14:paraId="47BCB2CF">
            <w:pPr>
              <w:pStyle w:val="14"/>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8"/>
                <w:szCs w:val="28"/>
                <w:highlight w:val="none"/>
                <w:vertAlign w:val="baseline"/>
                <w:lang w:val="en-US" w:eastAsia="zh-Hans"/>
              </w:rPr>
            </w:pPr>
          </w:p>
        </w:tc>
        <w:tc>
          <w:tcPr>
            <w:tcW w:w="1858" w:type="dxa"/>
            <w:vAlign w:val="center"/>
          </w:tcPr>
          <w:p w14:paraId="4A0A8890">
            <w:pPr>
              <w:pStyle w:val="14"/>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8"/>
                <w:szCs w:val="28"/>
                <w:highlight w:val="none"/>
                <w:vertAlign w:val="baseline"/>
                <w:lang w:val="en-US" w:eastAsia="zh-Hans"/>
              </w:rPr>
            </w:pPr>
          </w:p>
        </w:tc>
        <w:tc>
          <w:tcPr>
            <w:tcW w:w="1858" w:type="dxa"/>
            <w:vAlign w:val="center"/>
          </w:tcPr>
          <w:p w14:paraId="723CD649">
            <w:pPr>
              <w:pStyle w:val="14"/>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8"/>
                <w:szCs w:val="28"/>
                <w:highlight w:val="none"/>
                <w:vertAlign w:val="baseline"/>
                <w:lang w:val="en-US" w:eastAsia="zh-Hans"/>
              </w:rPr>
            </w:pPr>
          </w:p>
        </w:tc>
        <w:tc>
          <w:tcPr>
            <w:tcW w:w="1858" w:type="dxa"/>
            <w:vAlign w:val="center"/>
          </w:tcPr>
          <w:p w14:paraId="2DCA2B30">
            <w:pPr>
              <w:pStyle w:val="14"/>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8"/>
                <w:szCs w:val="28"/>
                <w:highlight w:val="none"/>
                <w:vertAlign w:val="baseline"/>
                <w:lang w:val="en-US" w:eastAsia="zh-Hans"/>
              </w:rPr>
            </w:pPr>
          </w:p>
        </w:tc>
      </w:tr>
      <w:tr w14:paraId="73584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857" w:type="dxa"/>
            <w:vAlign w:val="center"/>
          </w:tcPr>
          <w:p w14:paraId="5687570E">
            <w:pPr>
              <w:pStyle w:val="14"/>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8"/>
                <w:szCs w:val="28"/>
                <w:highlight w:val="none"/>
                <w:vertAlign w:val="baseline"/>
                <w:lang w:val="en-US" w:eastAsia="zh-Hans"/>
              </w:rPr>
            </w:pPr>
          </w:p>
        </w:tc>
        <w:tc>
          <w:tcPr>
            <w:tcW w:w="1857" w:type="dxa"/>
            <w:vAlign w:val="center"/>
          </w:tcPr>
          <w:p w14:paraId="452D12D6">
            <w:pPr>
              <w:pStyle w:val="14"/>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8"/>
                <w:szCs w:val="28"/>
                <w:highlight w:val="none"/>
                <w:vertAlign w:val="baseline"/>
                <w:lang w:val="en-US" w:eastAsia="zh-Hans"/>
              </w:rPr>
            </w:pPr>
          </w:p>
        </w:tc>
        <w:tc>
          <w:tcPr>
            <w:tcW w:w="1858" w:type="dxa"/>
            <w:vAlign w:val="center"/>
          </w:tcPr>
          <w:p w14:paraId="1887A7BC">
            <w:pPr>
              <w:pStyle w:val="14"/>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8"/>
                <w:szCs w:val="28"/>
                <w:highlight w:val="none"/>
                <w:vertAlign w:val="baseline"/>
                <w:lang w:val="en-US" w:eastAsia="zh-Hans"/>
              </w:rPr>
            </w:pPr>
          </w:p>
        </w:tc>
        <w:tc>
          <w:tcPr>
            <w:tcW w:w="1858" w:type="dxa"/>
            <w:vAlign w:val="center"/>
          </w:tcPr>
          <w:p w14:paraId="6B59CF0B">
            <w:pPr>
              <w:pStyle w:val="14"/>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8"/>
                <w:szCs w:val="28"/>
                <w:highlight w:val="none"/>
                <w:vertAlign w:val="baseline"/>
                <w:lang w:val="en-US" w:eastAsia="zh-Hans"/>
              </w:rPr>
            </w:pPr>
          </w:p>
        </w:tc>
        <w:tc>
          <w:tcPr>
            <w:tcW w:w="1858" w:type="dxa"/>
            <w:vAlign w:val="center"/>
          </w:tcPr>
          <w:p w14:paraId="5EA4BD8D">
            <w:pPr>
              <w:pStyle w:val="14"/>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8"/>
                <w:szCs w:val="28"/>
                <w:highlight w:val="none"/>
                <w:vertAlign w:val="baseline"/>
                <w:lang w:val="en-US" w:eastAsia="zh-Hans"/>
              </w:rPr>
            </w:pPr>
          </w:p>
        </w:tc>
      </w:tr>
      <w:tr w14:paraId="7DE5E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30" w:type="dxa"/>
            <w:gridSpan w:val="4"/>
            <w:vAlign w:val="center"/>
          </w:tcPr>
          <w:p w14:paraId="6E45CDE8">
            <w:pPr>
              <w:pStyle w:val="14"/>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8"/>
                <w:szCs w:val="28"/>
                <w:highlight w:val="none"/>
                <w:vertAlign w:val="baseline"/>
                <w:lang w:val="en-US" w:eastAsia="zh-CN"/>
              </w:rPr>
            </w:pPr>
            <w:r>
              <w:rPr>
                <w:rFonts w:hint="eastAsia" w:ascii="仿宋" w:hAnsi="仿宋" w:eastAsia="仿宋" w:cs="仿宋"/>
                <w:sz w:val="28"/>
                <w:szCs w:val="28"/>
                <w:highlight w:val="none"/>
                <w:vertAlign w:val="baseline"/>
                <w:lang w:val="en-US" w:eastAsia="zh-CN"/>
              </w:rPr>
              <w:t>总价</w:t>
            </w:r>
          </w:p>
        </w:tc>
        <w:tc>
          <w:tcPr>
            <w:tcW w:w="1858" w:type="dxa"/>
            <w:vAlign w:val="center"/>
          </w:tcPr>
          <w:p w14:paraId="7F9E54BB">
            <w:pPr>
              <w:pStyle w:val="14"/>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8"/>
                <w:szCs w:val="28"/>
                <w:highlight w:val="none"/>
                <w:vertAlign w:val="baseline"/>
                <w:lang w:val="en-US" w:eastAsia="zh-Hans"/>
              </w:rPr>
            </w:pPr>
          </w:p>
        </w:tc>
      </w:tr>
    </w:tbl>
    <w:p w14:paraId="5EB5CDDB">
      <w:pPr>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b/>
          <w:bCs/>
          <w:snapToGrid w:val="0"/>
          <w:color w:val="auto"/>
          <w:sz w:val="28"/>
          <w:szCs w:val="28"/>
          <w:highlight w:val="none"/>
          <w:lang w:val="en-US" w:eastAsia="zh-CN"/>
        </w:rPr>
      </w:pPr>
      <w:r>
        <w:rPr>
          <w:rFonts w:hint="eastAsia" w:ascii="仿宋" w:hAnsi="仿宋" w:eastAsia="仿宋" w:cs="仿宋"/>
          <w:b/>
          <w:bCs/>
          <w:snapToGrid w:val="0"/>
          <w:color w:val="auto"/>
          <w:sz w:val="28"/>
          <w:szCs w:val="28"/>
          <w:highlight w:val="none"/>
          <w:lang w:val="en-US" w:eastAsia="zh-CN"/>
        </w:rPr>
        <w:t>二、合同价款</w:t>
      </w:r>
    </w:p>
    <w:p w14:paraId="0433D3F9">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napToGrid w:val="0"/>
          <w:color w:val="auto"/>
          <w:sz w:val="28"/>
          <w:szCs w:val="28"/>
          <w:highlight w:val="none"/>
          <w:lang w:val="en-US" w:eastAsia="zh-CN"/>
        </w:rPr>
      </w:pPr>
      <w:r>
        <w:rPr>
          <w:rFonts w:hint="eastAsia" w:ascii="仿宋" w:hAnsi="仿宋" w:eastAsia="仿宋" w:cs="仿宋"/>
          <w:snapToGrid w:val="0"/>
          <w:color w:val="auto"/>
          <w:sz w:val="28"/>
          <w:szCs w:val="28"/>
          <w:highlight w:val="none"/>
          <w:lang w:val="en-US" w:eastAsia="zh-CN"/>
        </w:rPr>
        <w:t>（一）合同总价款为人民币（大写）         （¥：      元）。</w:t>
      </w:r>
    </w:p>
    <w:p w14:paraId="374247F9">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napToGrid w:val="0"/>
          <w:color w:val="auto"/>
          <w:sz w:val="28"/>
          <w:szCs w:val="28"/>
          <w:highlight w:val="none"/>
          <w:lang w:val="en-US" w:eastAsia="zh-CN"/>
        </w:rPr>
      </w:pPr>
      <w:r>
        <w:rPr>
          <w:rFonts w:hint="eastAsia" w:ascii="仿宋" w:hAnsi="仿宋" w:eastAsia="仿宋" w:cs="仿宋"/>
          <w:snapToGrid w:val="0"/>
          <w:color w:val="auto"/>
          <w:sz w:val="28"/>
          <w:szCs w:val="28"/>
          <w:highlight w:val="none"/>
          <w:lang w:val="en-US" w:eastAsia="zh-CN"/>
        </w:rPr>
        <w:t>（二）合同总价包括:宣传费、技术服务及其它因履行本合同产生的一切费用。</w:t>
      </w:r>
    </w:p>
    <w:p w14:paraId="4687E96F">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napToGrid w:val="0"/>
          <w:color w:val="auto"/>
          <w:sz w:val="28"/>
          <w:szCs w:val="28"/>
          <w:highlight w:val="none"/>
          <w:lang w:val="en-US" w:eastAsia="zh-CN"/>
        </w:rPr>
      </w:pPr>
      <w:r>
        <w:rPr>
          <w:rFonts w:hint="eastAsia" w:ascii="仿宋" w:hAnsi="仿宋" w:eastAsia="仿宋" w:cs="仿宋"/>
          <w:snapToGrid w:val="0"/>
          <w:color w:val="auto"/>
          <w:sz w:val="28"/>
          <w:szCs w:val="28"/>
          <w:highlight w:val="none"/>
          <w:lang w:val="en-US" w:eastAsia="zh-CN"/>
        </w:rPr>
        <w:t>（三）合同总价一次性包死，不受市场价格变化因素的影响。</w:t>
      </w:r>
    </w:p>
    <w:p w14:paraId="00EF184F">
      <w:pPr>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b/>
          <w:bCs/>
          <w:snapToGrid w:val="0"/>
          <w:color w:val="auto"/>
          <w:sz w:val="28"/>
          <w:szCs w:val="28"/>
          <w:highlight w:val="none"/>
          <w:lang w:val="en-US" w:eastAsia="zh-CN"/>
        </w:rPr>
      </w:pPr>
      <w:r>
        <w:rPr>
          <w:rFonts w:hint="eastAsia" w:ascii="仿宋" w:hAnsi="仿宋" w:eastAsia="仿宋" w:cs="仿宋"/>
          <w:b/>
          <w:bCs/>
          <w:snapToGrid w:val="0"/>
          <w:color w:val="auto"/>
          <w:sz w:val="28"/>
          <w:szCs w:val="28"/>
          <w:highlight w:val="none"/>
          <w:lang w:val="en-US" w:eastAsia="zh-CN"/>
        </w:rPr>
        <w:t>三、款项结算</w:t>
      </w:r>
    </w:p>
    <w:p w14:paraId="794EE05B">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napToGrid w:val="0"/>
          <w:color w:val="auto"/>
          <w:sz w:val="28"/>
          <w:szCs w:val="28"/>
          <w:highlight w:val="none"/>
          <w:lang w:val="en-US" w:eastAsia="zh-CN"/>
        </w:rPr>
      </w:pPr>
      <w:r>
        <w:rPr>
          <w:rFonts w:hint="eastAsia" w:ascii="仿宋" w:hAnsi="仿宋" w:eastAsia="仿宋" w:cs="仿宋"/>
          <w:snapToGrid w:val="0"/>
          <w:color w:val="auto"/>
          <w:sz w:val="28"/>
          <w:szCs w:val="28"/>
          <w:highlight w:val="none"/>
          <w:lang w:val="en-US" w:eastAsia="zh-CN"/>
        </w:rPr>
        <w:t>服务期限结束且经甲方验收合格后，一次性无息付清全款。乙方应于甲方付款前按照甲方要求提供等额合规发票，否则，甲方有权拒付合同款项，且不承担任何责任，乙方亦不得以此为由拒绝履行任意合同义务。</w:t>
      </w:r>
    </w:p>
    <w:p w14:paraId="56DD2EAD">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napToGrid w:val="0"/>
          <w:color w:val="auto"/>
          <w:sz w:val="28"/>
          <w:szCs w:val="28"/>
          <w:highlight w:val="none"/>
          <w:lang w:val="en-US" w:eastAsia="zh-CN"/>
        </w:rPr>
      </w:pPr>
      <w:r>
        <w:rPr>
          <w:rFonts w:hint="eastAsia" w:ascii="仿宋" w:hAnsi="仿宋" w:eastAsia="仿宋" w:cs="仿宋"/>
          <w:snapToGrid w:val="0"/>
          <w:color w:val="auto"/>
          <w:sz w:val="28"/>
          <w:szCs w:val="28"/>
          <w:highlight w:val="none"/>
          <w:lang w:val="en-US" w:eastAsia="zh-CN"/>
        </w:rPr>
        <w:t>付款方式:转账支付。</w:t>
      </w:r>
    </w:p>
    <w:p w14:paraId="28F1494C">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napToGrid w:val="0"/>
          <w:color w:val="auto"/>
          <w:sz w:val="28"/>
          <w:szCs w:val="28"/>
          <w:highlight w:val="none"/>
          <w:lang w:val="en-US" w:eastAsia="zh-CN"/>
        </w:rPr>
      </w:pPr>
      <w:r>
        <w:rPr>
          <w:rFonts w:hint="eastAsia" w:ascii="仿宋" w:hAnsi="仿宋" w:eastAsia="仿宋" w:cs="仿宋"/>
          <w:snapToGrid w:val="0"/>
          <w:color w:val="auto"/>
          <w:sz w:val="28"/>
          <w:szCs w:val="28"/>
          <w:highlight w:val="none"/>
          <w:lang w:val="en-US" w:eastAsia="zh-CN"/>
        </w:rPr>
        <w:t>名称:</w:t>
      </w:r>
    </w:p>
    <w:p w14:paraId="0ADF1357">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napToGrid w:val="0"/>
          <w:color w:val="auto"/>
          <w:sz w:val="28"/>
          <w:szCs w:val="28"/>
          <w:highlight w:val="none"/>
          <w:lang w:val="en-US" w:eastAsia="zh-CN"/>
        </w:rPr>
      </w:pPr>
      <w:r>
        <w:rPr>
          <w:rFonts w:hint="eastAsia" w:ascii="仿宋" w:hAnsi="仿宋" w:eastAsia="仿宋" w:cs="仿宋"/>
          <w:snapToGrid w:val="0"/>
          <w:color w:val="auto"/>
          <w:sz w:val="28"/>
          <w:szCs w:val="28"/>
          <w:highlight w:val="none"/>
          <w:lang w:val="en-US" w:eastAsia="zh-CN"/>
        </w:rPr>
        <w:t>纳税人识别号:</w:t>
      </w:r>
    </w:p>
    <w:p w14:paraId="20E9F939">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napToGrid w:val="0"/>
          <w:color w:val="auto"/>
          <w:sz w:val="28"/>
          <w:szCs w:val="28"/>
          <w:highlight w:val="none"/>
          <w:lang w:val="en-US" w:eastAsia="zh-CN"/>
        </w:rPr>
      </w:pPr>
      <w:r>
        <w:rPr>
          <w:rFonts w:hint="eastAsia" w:ascii="仿宋" w:hAnsi="仿宋" w:eastAsia="仿宋" w:cs="仿宋"/>
          <w:snapToGrid w:val="0"/>
          <w:color w:val="auto"/>
          <w:sz w:val="28"/>
          <w:szCs w:val="28"/>
          <w:highlight w:val="none"/>
          <w:lang w:val="en-US" w:eastAsia="zh-CN"/>
        </w:rPr>
        <w:t>地址、电话:</w:t>
      </w:r>
    </w:p>
    <w:p w14:paraId="18BFB080">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napToGrid w:val="0"/>
          <w:color w:val="auto"/>
          <w:sz w:val="28"/>
          <w:szCs w:val="28"/>
          <w:highlight w:val="none"/>
          <w:lang w:val="en-US" w:eastAsia="zh-CN"/>
        </w:rPr>
      </w:pPr>
      <w:r>
        <w:rPr>
          <w:rFonts w:hint="eastAsia" w:ascii="仿宋" w:hAnsi="仿宋" w:eastAsia="仿宋" w:cs="仿宋"/>
          <w:snapToGrid w:val="0"/>
          <w:color w:val="auto"/>
          <w:sz w:val="28"/>
          <w:szCs w:val="28"/>
          <w:highlight w:val="none"/>
          <w:lang w:val="en-US" w:eastAsia="zh-CN"/>
        </w:rPr>
        <w:t>开户行及账号:</w:t>
      </w:r>
    </w:p>
    <w:p w14:paraId="0B79229B">
      <w:pPr>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b/>
          <w:bCs/>
          <w:snapToGrid w:val="0"/>
          <w:color w:val="auto"/>
          <w:sz w:val="28"/>
          <w:szCs w:val="28"/>
          <w:highlight w:val="none"/>
          <w:lang w:val="en-US" w:eastAsia="zh-CN"/>
        </w:rPr>
      </w:pPr>
      <w:r>
        <w:rPr>
          <w:rFonts w:hint="eastAsia" w:ascii="仿宋" w:hAnsi="仿宋" w:eastAsia="仿宋" w:cs="仿宋"/>
          <w:b/>
          <w:bCs/>
          <w:snapToGrid w:val="0"/>
          <w:color w:val="auto"/>
          <w:sz w:val="28"/>
          <w:szCs w:val="28"/>
          <w:highlight w:val="none"/>
          <w:lang w:val="en-US" w:eastAsia="zh-CN"/>
        </w:rPr>
        <w:t>四、服务内容及条件:</w:t>
      </w:r>
    </w:p>
    <w:p w14:paraId="270F1EC5">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default" w:ascii="仿宋" w:hAnsi="仿宋" w:eastAsia="仿宋" w:cs="仿宋"/>
          <w:snapToGrid w:val="0"/>
          <w:color w:val="auto"/>
          <w:sz w:val="28"/>
          <w:szCs w:val="28"/>
          <w:highlight w:val="none"/>
          <w:lang w:val="en-US" w:eastAsia="zh-CN"/>
        </w:rPr>
      </w:pPr>
      <w:r>
        <w:rPr>
          <w:rFonts w:hint="eastAsia" w:ascii="仿宋" w:hAnsi="仿宋" w:eastAsia="仿宋" w:cs="仿宋"/>
          <w:snapToGrid w:val="0"/>
          <w:color w:val="auto"/>
          <w:sz w:val="28"/>
          <w:szCs w:val="28"/>
          <w:highlight w:val="none"/>
          <w:lang w:val="en-US" w:eastAsia="zh-CN"/>
        </w:rPr>
        <w:t>（一）服务内容：</w:t>
      </w:r>
    </w:p>
    <w:p w14:paraId="0F292DF9">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napToGrid w:val="0"/>
          <w:color w:val="auto"/>
          <w:sz w:val="28"/>
          <w:szCs w:val="28"/>
          <w:highlight w:val="none"/>
          <w:lang w:val="en-US" w:eastAsia="zh-CN"/>
        </w:rPr>
      </w:pPr>
      <w:r>
        <w:rPr>
          <w:rFonts w:hint="eastAsia" w:ascii="仿宋" w:hAnsi="仿宋" w:eastAsia="仿宋" w:cs="仿宋"/>
          <w:snapToGrid w:val="0"/>
          <w:color w:val="auto"/>
          <w:sz w:val="28"/>
          <w:szCs w:val="28"/>
          <w:highlight w:val="none"/>
          <w:lang w:val="en-US" w:eastAsia="zh-CN"/>
        </w:rPr>
        <w:t>1.充分了解用户需求，收集用户反馈，分析用户行为及需求。</w:t>
      </w:r>
    </w:p>
    <w:p w14:paraId="2B2B6AFC">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napToGrid w:val="0"/>
          <w:color w:val="auto"/>
          <w:sz w:val="28"/>
          <w:szCs w:val="28"/>
          <w:highlight w:val="none"/>
          <w:lang w:val="en-US" w:eastAsia="zh-CN"/>
        </w:rPr>
      </w:pPr>
      <w:r>
        <w:rPr>
          <w:rFonts w:hint="eastAsia" w:ascii="仿宋" w:hAnsi="仿宋" w:eastAsia="仿宋" w:cs="仿宋"/>
          <w:snapToGrid w:val="0"/>
          <w:color w:val="auto"/>
          <w:sz w:val="28"/>
          <w:szCs w:val="28"/>
          <w:highlight w:val="none"/>
          <w:lang w:val="en-US" w:eastAsia="zh-CN"/>
        </w:rPr>
        <w:t>2.紧跟微信发展趋势，广泛关注标杆性公众号，积极探索微信运营模式；</w:t>
      </w:r>
    </w:p>
    <w:p w14:paraId="28D326BB">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napToGrid w:val="0"/>
          <w:color w:val="auto"/>
          <w:sz w:val="28"/>
          <w:szCs w:val="28"/>
          <w:highlight w:val="none"/>
          <w:lang w:val="en-US" w:eastAsia="zh-CN"/>
        </w:rPr>
      </w:pPr>
      <w:r>
        <w:rPr>
          <w:rFonts w:hint="eastAsia" w:ascii="仿宋" w:hAnsi="仿宋" w:eastAsia="仿宋" w:cs="仿宋"/>
          <w:snapToGrid w:val="0"/>
          <w:color w:val="auto"/>
          <w:sz w:val="28"/>
          <w:szCs w:val="28"/>
          <w:highlight w:val="none"/>
          <w:lang w:val="en-US" w:eastAsia="zh-CN"/>
        </w:rPr>
        <w:t>3.负责策划并执行微信营销线日常活动及跟踪维护，根据项目发送各种微信内容；</w:t>
      </w:r>
    </w:p>
    <w:p w14:paraId="52ACC08E">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napToGrid w:val="0"/>
          <w:color w:val="auto"/>
          <w:sz w:val="28"/>
          <w:szCs w:val="28"/>
          <w:highlight w:val="none"/>
          <w:lang w:val="en-US" w:eastAsia="zh-CN"/>
        </w:rPr>
      </w:pPr>
      <w:r>
        <w:rPr>
          <w:rFonts w:hint="eastAsia" w:ascii="仿宋" w:hAnsi="仿宋" w:eastAsia="仿宋" w:cs="仿宋"/>
          <w:snapToGrid w:val="0"/>
          <w:color w:val="auto"/>
          <w:sz w:val="28"/>
          <w:szCs w:val="28"/>
          <w:highlight w:val="none"/>
          <w:lang w:val="en-US" w:eastAsia="zh-CN"/>
        </w:rPr>
        <w:t>4.挖掘和分析网友使用习惯、情感及体验感受，及时掌握新闻热点，有效完成专题策划活动；</w:t>
      </w:r>
    </w:p>
    <w:p w14:paraId="43FF746E">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default" w:ascii="仿宋" w:hAnsi="仿宋" w:eastAsia="仿宋" w:cs="仿宋"/>
          <w:snapToGrid w:val="0"/>
          <w:color w:val="auto"/>
          <w:sz w:val="28"/>
          <w:szCs w:val="28"/>
          <w:highlight w:val="none"/>
          <w:lang w:val="en-US" w:eastAsia="zh-CN"/>
        </w:rPr>
      </w:pPr>
      <w:r>
        <w:rPr>
          <w:rFonts w:hint="eastAsia" w:ascii="仿宋" w:hAnsi="仿宋" w:eastAsia="仿宋" w:cs="仿宋"/>
          <w:snapToGrid w:val="0"/>
          <w:color w:val="auto"/>
          <w:sz w:val="28"/>
          <w:szCs w:val="28"/>
          <w:highlight w:val="none"/>
          <w:lang w:val="en-US" w:eastAsia="zh-CN"/>
        </w:rPr>
        <w:t>5负责移动互联网自媒体平台（微信、微博、手机终端为主）的推广工作。</w:t>
      </w:r>
    </w:p>
    <w:p w14:paraId="65634220">
      <w:pPr>
        <w:keepNext w:val="0"/>
        <w:keepLines w:val="0"/>
        <w:pageBreakBefore w:val="0"/>
        <w:numPr>
          <w:ilvl w:val="0"/>
          <w:numId w:val="1"/>
        </w:numPr>
        <w:kinsoku/>
        <w:wordWrap/>
        <w:overflowPunct/>
        <w:topLinePunct w:val="0"/>
        <w:autoSpaceDE/>
        <w:autoSpaceDN/>
        <w:bidi w:val="0"/>
        <w:adjustRightInd/>
        <w:snapToGrid w:val="0"/>
        <w:spacing w:line="360" w:lineRule="auto"/>
        <w:ind w:firstLine="560" w:firstLineChars="200"/>
        <w:textAlignment w:val="auto"/>
        <w:rPr>
          <w:rFonts w:hint="default" w:ascii="仿宋" w:hAnsi="仿宋" w:eastAsia="仿宋" w:cs="仿宋"/>
          <w:snapToGrid w:val="0"/>
          <w:color w:val="auto"/>
          <w:sz w:val="28"/>
          <w:szCs w:val="28"/>
          <w:highlight w:val="none"/>
          <w:lang w:val="en-US" w:eastAsia="zh-CN"/>
        </w:rPr>
      </w:pPr>
      <w:r>
        <w:rPr>
          <w:rFonts w:hint="eastAsia" w:ascii="仿宋" w:hAnsi="仿宋" w:eastAsia="仿宋" w:cs="仿宋"/>
          <w:snapToGrid w:val="0"/>
          <w:color w:val="auto"/>
          <w:sz w:val="28"/>
          <w:szCs w:val="28"/>
          <w:highlight w:val="none"/>
          <w:lang w:val="en-US" w:eastAsia="zh-CN"/>
        </w:rPr>
        <w:t>服务期限:2026年度。</w:t>
      </w:r>
      <w:r>
        <w:rPr>
          <w:rFonts w:hint="eastAsia" w:ascii="仿宋" w:hAnsi="仿宋" w:eastAsia="仿宋" w:cs="仿宋"/>
          <w:snapToGrid w:val="0"/>
          <w:color w:val="auto"/>
          <w:sz w:val="28"/>
          <w:szCs w:val="28"/>
          <w:highlight w:val="none"/>
          <w:lang w:val="en-US" w:eastAsia="zh-CN"/>
        </w:rPr>
        <w:t>自2026年【 】月【 】日至2027年【 】月【 】日</w:t>
      </w:r>
    </w:p>
    <w:p w14:paraId="1C816E0B">
      <w:pPr>
        <w:keepNext w:val="0"/>
        <w:keepLines w:val="0"/>
        <w:pageBreakBefore w:val="0"/>
        <w:numPr>
          <w:ilvl w:val="0"/>
          <w:numId w:val="0"/>
        </w:numPr>
        <w:kinsoku/>
        <w:wordWrap/>
        <w:overflowPunct/>
        <w:topLinePunct w:val="0"/>
        <w:autoSpaceDE/>
        <w:autoSpaceDN/>
        <w:bidi w:val="0"/>
        <w:adjustRightInd/>
        <w:snapToGrid w:val="0"/>
        <w:spacing w:line="360" w:lineRule="auto"/>
        <w:ind w:firstLine="560" w:firstLineChars="200"/>
        <w:textAlignment w:val="auto"/>
        <w:rPr>
          <w:rFonts w:hint="default" w:ascii="仿宋" w:hAnsi="仿宋" w:eastAsia="仿宋" w:cs="仿宋"/>
          <w:snapToGrid w:val="0"/>
          <w:color w:val="auto"/>
          <w:sz w:val="28"/>
          <w:szCs w:val="28"/>
          <w:highlight w:val="none"/>
          <w:lang w:val="en-US" w:eastAsia="zh-CN"/>
        </w:rPr>
      </w:pPr>
      <w:r>
        <w:rPr>
          <w:rFonts w:hint="eastAsia" w:ascii="仿宋" w:hAnsi="仿宋" w:eastAsia="仿宋" w:cs="仿宋"/>
          <w:snapToGrid w:val="0"/>
          <w:color w:val="auto"/>
          <w:sz w:val="28"/>
          <w:szCs w:val="28"/>
          <w:highlight w:val="none"/>
          <w:lang w:val="en-US" w:eastAsia="zh-CN"/>
        </w:rPr>
        <w:t>（三）其余服务内容、服务条件等以乙方投标文件承诺的内容为准。</w:t>
      </w:r>
    </w:p>
    <w:p w14:paraId="0C1D95F1">
      <w:pPr>
        <w:keepNext w:val="0"/>
        <w:keepLines w:val="0"/>
        <w:pageBreakBefore w:val="0"/>
        <w:kinsoku/>
        <w:wordWrap/>
        <w:overflowPunct/>
        <w:topLinePunct w:val="0"/>
        <w:autoSpaceDE/>
        <w:autoSpaceDN/>
        <w:bidi w:val="0"/>
        <w:adjustRightInd/>
        <w:snapToGrid w:val="0"/>
        <w:spacing w:line="360" w:lineRule="auto"/>
        <w:ind w:firstLine="562" w:firstLineChars="200"/>
        <w:textAlignment w:val="auto"/>
        <w:rPr>
          <w:rFonts w:hint="eastAsia" w:ascii="仿宋" w:hAnsi="仿宋" w:eastAsia="仿宋" w:cs="仿宋"/>
          <w:b/>
          <w:bCs/>
          <w:snapToGrid w:val="0"/>
          <w:color w:val="auto"/>
          <w:sz w:val="28"/>
          <w:szCs w:val="28"/>
          <w:highlight w:val="none"/>
          <w:lang w:val="en-US" w:eastAsia="zh-CN"/>
        </w:rPr>
      </w:pPr>
      <w:r>
        <w:rPr>
          <w:rFonts w:hint="eastAsia" w:ascii="仿宋" w:hAnsi="仿宋" w:eastAsia="仿宋" w:cs="仿宋"/>
          <w:b/>
          <w:bCs/>
          <w:snapToGrid w:val="0"/>
          <w:color w:val="auto"/>
          <w:sz w:val="28"/>
          <w:szCs w:val="28"/>
          <w:highlight w:val="none"/>
          <w:lang w:val="en-US" w:eastAsia="zh-CN"/>
        </w:rPr>
        <w:t>五、质量保证</w:t>
      </w:r>
    </w:p>
    <w:p w14:paraId="19D4C91E">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napToGrid w:val="0"/>
          <w:color w:val="auto"/>
          <w:sz w:val="28"/>
          <w:szCs w:val="28"/>
          <w:highlight w:val="none"/>
          <w:lang w:val="en-US" w:eastAsia="zh-CN"/>
        </w:rPr>
      </w:pPr>
      <w:r>
        <w:rPr>
          <w:rFonts w:hint="eastAsia" w:ascii="仿宋" w:hAnsi="仿宋" w:eastAsia="仿宋" w:cs="仿宋"/>
          <w:snapToGrid w:val="0"/>
          <w:color w:val="auto"/>
          <w:sz w:val="28"/>
          <w:szCs w:val="28"/>
          <w:highlight w:val="none"/>
          <w:lang w:val="en-US" w:eastAsia="zh-CN"/>
        </w:rPr>
        <w:t>（一）乙方保证所提供的服务有保障措施，包括组织保障、人员保障、产品保障，并安全按照相应文件计划、安排、配置进行;</w:t>
      </w:r>
    </w:p>
    <w:p w14:paraId="330BFD21">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napToGrid w:val="0"/>
          <w:color w:val="auto"/>
          <w:sz w:val="28"/>
          <w:szCs w:val="28"/>
          <w:highlight w:val="none"/>
          <w:lang w:val="en-US" w:eastAsia="zh-CN"/>
        </w:rPr>
      </w:pPr>
      <w:r>
        <w:rPr>
          <w:rFonts w:hint="eastAsia" w:ascii="仿宋" w:hAnsi="仿宋" w:eastAsia="仿宋" w:cs="仿宋"/>
          <w:snapToGrid w:val="0"/>
          <w:color w:val="auto"/>
          <w:sz w:val="28"/>
          <w:szCs w:val="28"/>
          <w:highlight w:val="none"/>
          <w:lang w:val="en-US" w:eastAsia="zh-CN"/>
        </w:rPr>
        <w:t>（二）乙方要以严肃认真、及时准确、高度负责的态度和行为，为甲方提供优质高效的服务。</w:t>
      </w:r>
    </w:p>
    <w:p w14:paraId="3828C434">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napToGrid w:val="0"/>
          <w:color w:val="auto"/>
          <w:sz w:val="28"/>
          <w:szCs w:val="28"/>
          <w:highlight w:val="none"/>
          <w:lang w:val="en-US" w:eastAsia="zh-CN"/>
        </w:rPr>
      </w:pPr>
      <w:r>
        <w:rPr>
          <w:rFonts w:hint="eastAsia" w:ascii="仿宋" w:hAnsi="仿宋" w:eastAsia="仿宋" w:cs="仿宋"/>
          <w:snapToGrid w:val="0"/>
          <w:color w:val="auto"/>
          <w:sz w:val="28"/>
          <w:szCs w:val="28"/>
          <w:highlight w:val="none"/>
          <w:lang w:val="en-US" w:eastAsia="zh-CN"/>
        </w:rPr>
        <w:t>（三）乙方应委派专人与甲方保持紧密联系，进行沟通交流，积极配合甲方的工作。联系人【     】，联系电话【     】。乙方应在每一次发布前【    】日内提供宣传稿，甲方有权对乙方进行的宣传稿内容提出修改意见和建议乙方应据此修改、调整。</w:t>
      </w:r>
    </w:p>
    <w:p w14:paraId="515327A7">
      <w:pPr>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b/>
          <w:bCs/>
          <w:snapToGrid w:val="0"/>
          <w:color w:val="auto"/>
          <w:sz w:val="28"/>
          <w:szCs w:val="28"/>
          <w:highlight w:val="none"/>
          <w:lang w:val="en-US" w:eastAsia="zh-CN"/>
        </w:rPr>
      </w:pPr>
      <w:r>
        <w:rPr>
          <w:rFonts w:hint="eastAsia" w:ascii="仿宋" w:hAnsi="仿宋" w:eastAsia="仿宋" w:cs="仿宋"/>
          <w:b/>
          <w:bCs/>
          <w:snapToGrid w:val="0"/>
          <w:color w:val="auto"/>
          <w:sz w:val="28"/>
          <w:szCs w:val="28"/>
          <w:highlight w:val="none"/>
          <w:lang w:val="en-US" w:eastAsia="zh-CN"/>
        </w:rPr>
        <w:t>六、验收方式</w:t>
      </w:r>
    </w:p>
    <w:p w14:paraId="3558512F">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napToGrid w:val="0"/>
          <w:color w:val="auto"/>
          <w:sz w:val="28"/>
          <w:szCs w:val="28"/>
          <w:highlight w:val="none"/>
          <w:lang w:val="en-US" w:eastAsia="zh-CN"/>
        </w:rPr>
      </w:pPr>
      <w:r>
        <w:rPr>
          <w:rFonts w:hint="eastAsia" w:ascii="仿宋" w:hAnsi="仿宋" w:eastAsia="仿宋" w:cs="仿宋"/>
          <w:snapToGrid w:val="0"/>
          <w:color w:val="auto"/>
          <w:sz w:val="28"/>
          <w:szCs w:val="28"/>
          <w:highlight w:val="none"/>
          <w:lang w:val="en-US" w:eastAsia="zh-CN"/>
        </w:rPr>
        <w:t>（一）在服务完成前所发生的一切损失及费用由乙方承担。服务内容达到标书要求的并经甲方验收合格的，验收通过;验收不合格的，乙方应按甲方要求的时限及内容进行整改。</w:t>
      </w:r>
    </w:p>
    <w:p w14:paraId="084A9D82">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napToGrid w:val="0"/>
          <w:color w:val="auto"/>
          <w:sz w:val="28"/>
          <w:szCs w:val="28"/>
          <w:highlight w:val="none"/>
          <w:lang w:val="en-US" w:eastAsia="zh-CN"/>
        </w:rPr>
      </w:pPr>
      <w:r>
        <w:rPr>
          <w:rFonts w:hint="eastAsia" w:ascii="仿宋" w:hAnsi="仿宋" w:eastAsia="仿宋" w:cs="仿宋"/>
          <w:snapToGrid w:val="0"/>
          <w:color w:val="auto"/>
          <w:sz w:val="28"/>
          <w:szCs w:val="28"/>
          <w:highlight w:val="none"/>
          <w:lang w:val="en-US" w:eastAsia="zh-CN"/>
        </w:rPr>
        <w:t>（二）验收依据:</w:t>
      </w:r>
    </w:p>
    <w:p w14:paraId="78C768F4">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napToGrid w:val="0"/>
          <w:color w:val="auto"/>
          <w:sz w:val="28"/>
          <w:szCs w:val="28"/>
          <w:highlight w:val="none"/>
          <w:lang w:val="en-US" w:eastAsia="zh-CN"/>
        </w:rPr>
      </w:pPr>
      <w:r>
        <w:rPr>
          <w:rFonts w:hint="eastAsia" w:ascii="仿宋" w:hAnsi="仿宋" w:eastAsia="仿宋" w:cs="仿宋"/>
          <w:snapToGrid w:val="0"/>
          <w:color w:val="auto"/>
          <w:sz w:val="28"/>
          <w:szCs w:val="28"/>
          <w:highlight w:val="none"/>
          <w:lang w:val="en-US" w:eastAsia="zh-CN"/>
        </w:rPr>
        <w:t>1、本合同及合同附件。</w:t>
      </w:r>
    </w:p>
    <w:p w14:paraId="7C0573E4">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napToGrid w:val="0"/>
          <w:color w:val="auto"/>
          <w:sz w:val="28"/>
          <w:szCs w:val="28"/>
          <w:highlight w:val="none"/>
          <w:lang w:val="en-US" w:eastAsia="zh-CN"/>
        </w:rPr>
      </w:pPr>
      <w:r>
        <w:rPr>
          <w:rFonts w:hint="eastAsia" w:ascii="仿宋" w:hAnsi="仿宋" w:eastAsia="仿宋" w:cs="仿宋"/>
          <w:snapToGrid w:val="0"/>
          <w:color w:val="auto"/>
          <w:sz w:val="28"/>
          <w:szCs w:val="28"/>
          <w:highlight w:val="none"/>
          <w:lang w:val="en-US" w:eastAsia="zh-CN"/>
        </w:rPr>
        <w:t>2、国家相应的标准、规范。</w:t>
      </w:r>
    </w:p>
    <w:p w14:paraId="3A740D7E">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napToGrid w:val="0"/>
          <w:color w:val="auto"/>
          <w:sz w:val="28"/>
          <w:szCs w:val="28"/>
          <w:highlight w:val="none"/>
          <w:lang w:val="en-US" w:eastAsia="zh-CN"/>
        </w:rPr>
      </w:pPr>
      <w:r>
        <w:rPr>
          <w:rFonts w:hint="eastAsia" w:ascii="仿宋" w:hAnsi="仿宋" w:eastAsia="仿宋" w:cs="仿宋"/>
          <w:snapToGrid w:val="0"/>
          <w:color w:val="auto"/>
          <w:sz w:val="28"/>
          <w:szCs w:val="28"/>
          <w:highlight w:val="none"/>
          <w:lang w:val="en-US" w:eastAsia="zh-CN"/>
        </w:rPr>
        <w:t>3、单一来源采购文件单一来源采购响应文件、澄清表(函)。</w:t>
      </w:r>
    </w:p>
    <w:p w14:paraId="3FB29B42">
      <w:pPr>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b/>
          <w:bCs/>
          <w:snapToGrid w:val="0"/>
          <w:color w:val="auto"/>
          <w:sz w:val="28"/>
          <w:szCs w:val="28"/>
          <w:highlight w:val="none"/>
          <w:lang w:val="en-US" w:eastAsia="zh-CN"/>
        </w:rPr>
      </w:pPr>
      <w:r>
        <w:rPr>
          <w:rFonts w:hint="eastAsia" w:ascii="仿宋" w:hAnsi="仿宋" w:eastAsia="仿宋" w:cs="仿宋"/>
          <w:b/>
          <w:bCs/>
          <w:snapToGrid w:val="0"/>
          <w:color w:val="auto"/>
          <w:sz w:val="28"/>
          <w:szCs w:val="28"/>
          <w:highlight w:val="none"/>
          <w:lang w:val="en-US" w:eastAsia="zh-CN"/>
        </w:rPr>
        <w:t>七、违约责任</w:t>
      </w:r>
    </w:p>
    <w:p w14:paraId="30408738">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napToGrid w:val="0"/>
          <w:color w:val="auto"/>
          <w:sz w:val="28"/>
          <w:szCs w:val="28"/>
          <w:highlight w:val="none"/>
          <w:lang w:val="en-US" w:eastAsia="zh-CN"/>
        </w:rPr>
      </w:pPr>
      <w:r>
        <w:rPr>
          <w:rFonts w:hint="eastAsia" w:ascii="仿宋" w:hAnsi="仿宋" w:eastAsia="仿宋" w:cs="仿宋"/>
          <w:snapToGrid w:val="0"/>
          <w:color w:val="auto"/>
          <w:sz w:val="28"/>
          <w:szCs w:val="28"/>
          <w:highlight w:val="none"/>
          <w:lang w:val="en-US" w:eastAsia="zh-CN"/>
        </w:rPr>
        <w:t>（一）按《中华人民共和国政府采购法》《中华人民共和国民法典》中的相关条款执行。</w:t>
      </w:r>
    </w:p>
    <w:p w14:paraId="362A2BB5">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napToGrid w:val="0"/>
          <w:color w:val="auto"/>
          <w:sz w:val="28"/>
          <w:szCs w:val="28"/>
          <w:highlight w:val="none"/>
          <w:lang w:val="en-US" w:eastAsia="zh-CN"/>
        </w:rPr>
      </w:pPr>
      <w:r>
        <w:rPr>
          <w:rFonts w:hint="eastAsia" w:ascii="仿宋" w:hAnsi="仿宋" w:eastAsia="仿宋" w:cs="仿宋"/>
          <w:snapToGrid w:val="0"/>
          <w:color w:val="auto"/>
          <w:sz w:val="28"/>
          <w:szCs w:val="28"/>
          <w:highlight w:val="none"/>
          <w:lang w:val="en-US" w:eastAsia="zh-CN"/>
        </w:rPr>
        <w:t>（二）若乙方未按合同、单一来源采购文件、响应文件、澄清表(函)约定的内容、质量等提供服务的，应无条件按甲方要求的时限整改，否则，甲方有权解除合同，解除合同书面通知书到达乙方之日视为合同已解除，并按以下两种方式追究乙方的违约责任:</w:t>
      </w:r>
    </w:p>
    <w:p w14:paraId="3BE8F2EC">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napToGrid w:val="0"/>
          <w:color w:val="auto"/>
          <w:sz w:val="28"/>
          <w:szCs w:val="28"/>
          <w:highlight w:val="none"/>
          <w:lang w:val="en-US" w:eastAsia="zh-CN"/>
        </w:rPr>
      </w:pPr>
      <w:r>
        <w:rPr>
          <w:rFonts w:hint="eastAsia" w:ascii="仿宋" w:hAnsi="仿宋" w:eastAsia="仿宋" w:cs="仿宋"/>
          <w:snapToGrid w:val="0"/>
          <w:color w:val="auto"/>
          <w:sz w:val="28"/>
          <w:szCs w:val="28"/>
          <w:highlight w:val="none"/>
          <w:lang w:val="en-US" w:eastAsia="zh-CN"/>
        </w:rPr>
        <w:t>1、乙方赔偿甲方解除合同的全部损失(包括但不限于重新采购产生的费用、合同未履行导致不能按规划交付使用可能产生的费用及其它由此造成的甲方对第三方的违约损失);</w:t>
      </w:r>
    </w:p>
    <w:p w14:paraId="6085E1F8">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napToGrid w:val="0"/>
          <w:color w:val="auto"/>
          <w:sz w:val="28"/>
          <w:szCs w:val="28"/>
          <w:highlight w:val="none"/>
          <w:lang w:val="en-US" w:eastAsia="zh-CN"/>
        </w:rPr>
      </w:pPr>
      <w:r>
        <w:rPr>
          <w:rFonts w:hint="eastAsia" w:ascii="仿宋" w:hAnsi="仿宋" w:eastAsia="仿宋" w:cs="仿宋"/>
          <w:snapToGrid w:val="0"/>
          <w:color w:val="auto"/>
          <w:sz w:val="28"/>
          <w:szCs w:val="28"/>
          <w:highlight w:val="none"/>
          <w:lang w:val="en-US" w:eastAsia="zh-CN"/>
        </w:rPr>
        <w:t>2、乙方支付甲方违约金，违约金计算方法:以合同总价为基数，支付甲方合同总价的30%为违约金。同时，对乙方的违约行为报监管机构进行相应的处罚。</w:t>
      </w:r>
    </w:p>
    <w:p w14:paraId="0079E42C">
      <w:pPr>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b/>
          <w:bCs/>
          <w:snapToGrid w:val="0"/>
          <w:color w:val="auto"/>
          <w:sz w:val="28"/>
          <w:szCs w:val="28"/>
          <w:highlight w:val="none"/>
          <w:lang w:val="en-US" w:eastAsia="zh-CN"/>
        </w:rPr>
      </w:pPr>
      <w:r>
        <w:rPr>
          <w:rFonts w:hint="eastAsia" w:ascii="仿宋" w:hAnsi="仿宋" w:eastAsia="仿宋" w:cs="仿宋"/>
          <w:b/>
          <w:bCs/>
          <w:snapToGrid w:val="0"/>
          <w:color w:val="auto"/>
          <w:sz w:val="28"/>
          <w:szCs w:val="28"/>
          <w:highlight w:val="none"/>
          <w:lang w:val="en-US" w:eastAsia="zh-CN"/>
        </w:rPr>
        <w:t>八、合同争议解决的方式</w:t>
      </w:r>
    </w:p>
    <w:p w14:paraId="589BFF3C">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napToGrid w:val="0"/>
          <w:color w:val="auto"/>
          <w:sz w:val="28"/>
          <w:szCs w:val="28"/>
          <w:highlight w:val="none"/>
          <w:lang w:val="en-US" w:eastAsia="zh-CN"/>
        </w:rPr>
      </w:pPr>
      <w:r>
        <w:rPr>
          <w:rFonts w:hint="eastAsia" w:ascii="仿宋" w:hAnsi="仿宋" w:eastAsia="仿宋" w:cs="仿宋"/>
          <w:snapToGrid w:val="0"/>
          <w:color w:val="auto"/>
          <w:sz w:val="28"/>
          <w:szCs w:val="28"/>
          <w:highlight w:val="none"/>
          <w:lang w:val="en-US" w:eastAsia="zh-CN"/>
        </w:rPr>
        <w:t>本合同在履行过程中发生的争议，由甲、乙双方当事人协商解决，协商不成的依法向甲方所在地人民法院起诉。</w:t>
      </w:r>
    </w:p>
    <w:p w14:paraId="3651B29A">
      <w:pPr>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b/>
          <w:bCs/>
          <w:snapToGrid w:val="0"/>
          <w:color w:val="auto"/>
          <w:sz w:val="28"/>
          <w:szCs w:val="28"/>
          <w:highlight w:val="none"/>
          <w:lang w:val="en-US" w:eastAsia="zh-CN"/>
        </w:rPr>
      </w:pPr>
      <w:r>
        <w:rPr>
          <w:rFonts w:hint="eastAsia" w:ascii="仿宋" w:hAnsi="仿宋" w:eastAsia="仿宋" w:cs="仿宋"/>
          <w:b/>
          <w:bCs/>
          <w:snapToGrid w:val="0"/>
          <w:color w:val="auto"/>
          <w:sz w:val="28"/>
          <w:szCs w:val="28"/>
          <w:highlight w:val="none"/>
          <w:lang w:val="en-US" w:eastAsia="zh-CN"/>
        </w:rPr>
        <w:t>九、合同生效</w:t>
      </w:r>
    </w:p>
    <w:p w14:paraId="40939751">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napToGrid w:val="0"/>
          <w:color w:val="auto"/>
          <w:sz w:val="28"/>
          <w:szCs w:val="28"/>
          <w:highlight w:val="none"/>
          <w:lang w:val="en-US" w:eastAsia="zh-CN"/>
        </w:rPr>
      </w:pPr>
      <w:r>
        <w:rPr>
          <w:rFonts w:hint="eastAsia" w:ascii="仿宋" w:hAnsi="仿宋" w:eastAsia="仿宋" w:cs="仿宋"/>
          <w:snapToGrid w:val="0"/>
          <w:color w:val="auto"/>
          <w:sz w:val="28"/>
          <w:szCs w:val="28"/>
          <w:highlight w:val="none"/>
          <w:lang w:val="en-US" w:eastAsia="zh-CN"/>
        </w:rPr>
        <w:t>本合同一式【 】份，甲方【 】份，乙方【 】份，均具有同等法律效力本合同经甲方、乙方签字盖章后生效，质保期结束后，自动终止(但合同的服务承诺除外)。</w:t>
      </w:r>
    </w:p>
    <w:p w14:paraId="475085EF">
      <w:pPr>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b/>
          <w:bCs/>
          <w:snapToGrid w:val="0"/>
          <w:color w:val="auto"/>
          <w:sz w:val="28"/>
          <w:szCs w:val="28"/>
          <w:highlight w:val="none"/>
          <w:lang w:val="en-US" w:eastAsia="zh-CN"/>
        </w:rPr>
      </w:pPr>
      <w:r>
        <w:rPr>
          <w:rFonts w:hint="eastAsia" w:ascii="仿宋" w:hAnsi="仿宋" w:eastAsia="仿宋" w:cs="仿宋"/>
          <w:b/>
          <w:bCs/>
          <w:snapToGrid w:val="0"/>
          <w:color w:val="auto"/>
          <w:sz w:val="28"/>
          <w:szCs w:val="28"/>
          <w:highlight w:val="none"/>
          <w:lang w:val="en-US" w:eastAsia="zh-CN"/>
        </w:rPr>
        <w:t>十、其他事项</w:t>
      </w:r>
    </w:p>
    <w:p w14:paraId="759CE950">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napToGrid w:val="0"/>
          <w:color w:val="auto"/>
          <w:sz w:val="28"/>
          <w:szCs w:val="28"/>
          <w:highlight w:val="none"/>
          <w:lang w:val="en-US" w:eastAsia="zh-CN"/>
        </w:rPr>
      </w:pPr>
      <w:r>
        <w:rPr>
          <w:rFonts w:hint="eastAsia" w:ascii="仿宋" w:hAnsi="仿宋" w:eastAsia="仿宋" w:cs="仿宋"/>
          <w:snapToGrid w:val="0"/>
          <w:color w:val="auto"/>
          <w:sz w:val="28"/>
          <w:szCs w:val="28"/>
          <w:highlight w:val="none"/>
          <w:lang w:val="en-US" w:eastAsia="zh-CN"/>
        </w:rPr>
        <w:t>（一）单一来源采购文件、单一来源采购响应文件、澄清表(函)、成交通知书、合同附件均成为合同不可分割的部分。</w:t>
      </w:r>
    </w:p>
    <w:p w14:paraId="5047AC51">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napToGrid w:val="0"/>
          <w:color w:val="auto"/>
          <w:sz w:val="28"/>
          <w:szCs w:val="28"/>
          <w:highlight w:val="none"/>
          <w:lang w:val="en-US" w:eastAsia="zh-CN"/>
        </w:rPr>
      </w:pPr>
      <w:r>
        <w:rPr>
          <w:rFonts w:hint="eastAsia" w:ascii="仿宋" w:hAnsi="仿宋" w:eastAsia="仿宋" w:cs="仿宋"/>
          <w:snapToGrid w:val="0"/>
          <w:color w:val="auto"/>
          <w:sz w:val="28"/>
          <w:szCs w:val="28"/>
          <w:highlight w:val="none"/>
          <w:lang w:val="en-US" w:eastAsia="zh-CN"/>
        </w:rPr>
        <w:t>（二）合同未尽事宜，由甲、乙双方协商，经见证方确认后，签订补充协议，与原合同具有同等法律效力。</w:t>
      </w:r>
    </w:p>
    <w:p w14:paraId="1361E58A">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napToGrid w:val="0"/>
          <w:color w:val="auto"/>
          <w:sz w:val="28"/>
          <w:szCs w:val="28"/>
          <w:highlight w:val="none"/>
          <w:lang w:val="en-US" w:eastAsia="zh-CN"/>
        </w:rPr>
      </w:pPr>
      <w:r>
        <w:rPr>
          <w:rFonts w:hint="eastAsia" w:ascii="仿宋" w:hAnsi="仿宋" w:eastAsia="仿宋" w:cs="仿宋"/>
          <w:snapToGrid w:val="0"/>
          <w:color w:val="auto"/>
          <w:sz w:val="28"/>
          <w:szCs w:val="28"/>
          <w:highlight w:val="none"/>
          <w:lang w:val="en-US" w:eastAsia="zh-CN"/>
        </w:rPr>
        <w:t>（三）合同一经签订，不得擅自变更、中止或终止合同。对确需变更、调整或中止、终止合同的，有法律规定的按照法律规定，除合同约定外，由甲乙双方再行协商，协商一致前，原合同或条款继续履行。</w:t>
      </w:r>
    </w:p>
    <w:p w14:paraId="66DF2669">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napToGrid w:val="0"/>
          <w:color w:val="auto"/>
          <w:sz w:val="28"/>
          <w:szCs w:val="28"/>
          <w:highlight w:val="none"/>
          <w:lang w:val="en-US" w:eastAsia="zh-CN"/>
        </w:rPr>
      </w:pPr>
      <w:r>
        <w:rPr>
          <w:rFonts w:hint="eastAsia" w:ascii="仿宋" w:hAnsi="仿宋" w:eastAsia="仿宋" w:cs="仿宋"/>
          <w:snapToGrid w:val="0"/>
          <w:color w:val="auto"/>
          <w:sz w:val="28"/>
          <w:szCs w:val="28"/>
          <w:highlight w:val="none"/>
          <w:lang w:val="en-US" w:eastAsia="zh-CN"/>
        </w:rPr>
        <w:t>（四）本合同按照中华人民共和国的现行法律进行解释</w:t>
      </w:r>
    </w:p>
    <w:p w14:paraId="459750F1">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napToGrid w:val="0"/>
          <w:color w:val="auto"/>
          <w:sz w:val="28"/>
          <w:szCs w:val="28"/>
          <w:highlight w:val="none"/>
          <w:lang w:val="en-US" w:eastAsia="zh-CN"/>
        </w:rPr>
      </w:pPr>
      <w:r>
        <w:rPr>
          <w:rFonts w:hint="eastAsia" w:ascii="仿宋" w:hAnsi="仿宋" w:eastAsia="仿宋" w:cs="仿宋"/>
          <w:snapToGrid w:val="0"/>
          <w:color w:val="auto"/>
          <w:sz w:val="28"/>
          <w:szCs w:val="28"/>
          <w:highlight w:val="none"/>
          <w:lang w:val="en-US" w:eastAsia="zh-CN"/>
        </w:rPr>
        <w:t>（五）本合同附件作为本合同的组成部分，与本合同具有同等法律效力。</w:t>
      </w:r>
    </w:p>
    <w:p w14:paraId="15F5254D">
      <w:pPr>
        <w:spacing w:line="360" w:lineRule="auto"/>
        <w:rPr>
          <w:rFonts w:hint="eastAsia" w:ascii="宋体" w:hAnsi="宋体" w:cs="宋体"/>
          <w:snapToGrid w:val="0"/>
          <w:color w:val="auto"/>
          <w:sz w:val="28"/>
          <w:szCs w:val="28"/>
          <w:highlight w:val="none"/>
          <w:lang w:val="en-US" w:eastAsia="zh-CN"/>
        </w:rPr>
      </w:pPr>
      <w:r>
        <w:rPr>
          <w:rFonts w:hint="eastAsia" w:ascii="宋体" w:hAnsi="宋体" w:cs="宋体"/>
          <w:snapToGrid w:val="0"/>
          <w:color w:val="auto"/>
          <w:sz w:val="28"/>
          <w:szCs w:val="28"/>
          <w:highlight w:val="none"/>
          <w:lang w:val="en-US" w:eastAsia="zh-CN"/>
        </w:rPr>
        <w:t>（以下无正文）</w:t>
      </w:r>
    </w:p>
    <w:p w14:paraId="463D071F">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napToGrid w:val="0"/>
          <w:color w:val="auto"/>
          <w:sz w:val="28"/>
          <w:szCs w:val="28"/>
          <w:highlight w:val="none"/>
          <w:lang w:val="en-US" w:eastAsia="zh-CN"/>
        </w:rPr>
      </w:pPr>
      <w:r>
        <w:rPr>
          <w:rFonts w:hint="eastAsia" w:ascii="仿宋" w:hAnsi="仿宋" w:eastAsia="仿宋" w:cs="仿宋"/>
          <w:snapToGrid w:val="0"/>
          <w:color w:val="auto"/>
          <w:sz w:val="28"/>
          <w:szCs w:val="28"/>
          <w:highlight w:val="none"/>
          <w:lang w:val="en-US" w:eastAsia="zh-CN"/>
        </w:rPr>
        <w:t>甲方：西安市中心医院                  乙方：</w:t>
      </w:r>
    </w:p>
    <w:p w14:paraId="3F7E48D6">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napToGrid w:val="0"/>
          <w:color w:val="auto"/>
          <w:sz w:val="28"/>
          <w:szCs w:val="28"/>
          <w:highlight w:val="none"/>
          <w:lang w:val="en-US" w:eastAsia="zh-CN"/>
        </w:rPr>
      </w:pPr>
      <w:r>
        <w:rPr>
          <w:rFonts w:hint="eastAsia" w:ascii="仿宋" w:hAnsi="仿宋" w:eastAsia="仿宋" w:cs="仿宋"/>
          <w:snapToGrid w:val="0"/>
          <w:color w:val="auto"/>
          <w:sz w:val="28"/>
          <w:szCs w:val="28"/>
          <w:highlight w:val="none"/>
          <w:lang w:val="en-US" w:eastAsia="zh-CN"/>
        </w:rPr>
        <w:t>法人代表或授权代表：                  法人代表或授权代表：</w:t>
      </w:r>
    </w:p>
    <w:p w14:paraId="5511C75C">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napToGrid w:val="0"/>
          <w:color w:val="auto"/>
          <w:sz w:val="28"/>
          <w:szCs w:val="28"/>
          <w:highlight w:val="none"/>
          <w:lang w:val="en-US" w:eastAsia="zh-CN"/>
        </w:rPr>
      </w:pPr>
      <w:r>
        <w:rPr>
          <w:rFonts w:hint="eastAsia" w:ascii="仿宋" w:hAnsi="仿宋" w:eastAsia="仿宋" w:cs="仿宋"/>
          <w:snapToGrid w:val="0"/>
          <w:color w:val="auto"/>
          <w:sz w:val="28"/>
          <w:szCs w:val="28"/>
          <w:highlight w:val="none"/>
          <w:lang w:val="en-US" w:eastAsia="zh-CN"/>
        </w:rPr>
        <w:t>（签字或盖章）                        （签字或盖章）</w:t>
      </w:r>
    </w:p>
    <w:p w14:paraId="2EC1611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napToGrid w:val="0"/>
          <w:color w:val="auto"/>
          <w:sz w:val="28"/>
          <w:szCs w:val="28"/>
          <w:highlight w:val="none"/>
          <w:lang w:val="en-US" w:eastAsia="zh-CN"/>
        </w:rPr>
      </w:pPr>
    </w:p>
    <w:p w14:paraId="5C5292E4">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highlight w:val="none"/>
          <w:lang w:val="en-US" w:eastAsia="zh-CN"/>
        </w:rPr>
      </w:pPr>
      <w:r>
        <w:rPr>
          <w:rFonts w:hint="eastAsia" w:ascii="仿宋" w:hAnsi="仿宋" w:eastAsia="仿宋" w:cs="仿宋"/>
          <w:snapToGrid w:val="0"/>
          <w:color w:val="auto"/>
          <w:sz w:val="28"/>
          <w:szCs w:val="28"/>
          <w:highlight w:val="none"/>
          <w:lang w:val="en-US" w:eastAsia="zh-CN"/>
        </w:rPr>
        <w:t>日期：    年   月   日                 日期：   年   月   日</w:t>
      </w:r>
    </w:p>
    <w:p w14:paraId="79816BA9">
      <w:pPr>
        <w:rPr>
          <w:highlight w:val="none"/>
        </w:rPr>
      </w:pPr>
    </w:p>
    <w:p w14:paraId="29430772">
      <w:pPr>
        <w:pStyle w:val="7"/>
        <w:rPr>
          <w:highlight w:val="none"/>
        </w:rPr>
      </w:pPr>
    </w:p>
    <w:p w14:paraId="5711E373">
      <w:pPr>
        <w:pStyle w:val="14"/>
        <w:rPr>
          <w:rFonts w:hint="eastAsia"/>
          <w:highlight w:val="none"/>
          <w:lang w:val="en-US" w:eastAsia="zh-Hans"/>
        </w:rPr>
      </w:pPr>
    </w:p>
    <w:p w14:paraId="4531151A">
      <w:pPr>
        <w:pStyle w:val="14"/>
        <w:rPr>
          <w:rFonts w:hint="eastAsia"/>
          <w:highlight w:val="none"/>
          <w:lang w:val="en-US" w:eastAsia="zh-Hans"/>
        </w:rPr>
      </w:pPr>
    </w:p>
    <w:p w14:paraId="05B28796">
      <w:pPr>
        <w:rPr>
          <w:highlight w:val="none"/>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DDA2CE">
    <w:pPr>
      <w:pStyle w:val="8"/>
      <w:ind w:right="360"/>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06C5E">
    <w:pPr>
      <w:pStyle w:val="9"/>
      <w:pBdr>
        <w:bottom w:val="none" w:color="auto" w:sz="0" w:space="1"/>
      </w:pBdr>
      <w:jc w:val="both"/>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A54AE4"/>
    <w:multiLevelType w:val="singleLevel"/>
    <w:tmpl w:val="37A54AE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043334"/>
    <w:rsid w:val="110C496E"/>
    <w:rsid w:val="40C432C1"/>
    <w:rsid w:val="54695AC9"/>
    <w:rsid w:val="663B04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link w:val="13"/>
    <w:qFormat/>
    <w:uiPriority w:val="0"/>
    <w:pPr>
      <w:keepNext/>
      <w:jc w:val="center"/>
      <w:outlineLvl w:val="0"/>
    </w:pPr>
    <w:rPr>
      <w:rFonts w:ascii="黑体" w:eastAsia="黑体"/>
      <w:sz w:val="28"/>
    </w:rPr>
  </w:style>
  <w:style w:type="paragraph" w:styleId="5">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after="0" w:line="640" w:lineRule="exact"/>
      <w:ind w:left="0" w:leftChars="0" w:firstLine="420" w:firstLineChars="200"/>
    </w:pPr>
    <w:rPr>
      <w:rFonts w:ascii="楷体_GB2312" w:eastAsia="楷体_GB2312"/>
      <w:sz w:val="32"/>
    </w:rPr>
  </w:style>
  <w:style w:type="paragraph" w:styleId="3">
    <w:name w:val="Body Text Indent"/>
    <w:basedOn w:val="1"/>
    <w:qFormat/>
    <w:uiPriority w:val="0"/>
    <w:pPr>
      <w:spacing w:line="640" w:lineRule="exact"/>
      <w:ind w:firstLine="585"/>
    </w:pPr>
    <w:rPr>
      <w:rFonts w:ascii="楷体_GB2312" w:eastAsia="楷体_GB2312"/>
      <w:sz w:val="32"/>
    </w:rPr>
  </w:style>
  <w:style w:type="paragraph" w:styleId="6">
    <w:name w:val="annotation text"/>
    <w:basedOn w:val="1"/>
    <w:semiHidden/>
    <w:qFormat/>
    <w:uiPriority w:val="0"/>
    <w:pPr>
      <w:jc w:val="left"/>
    </w:pPr>
  </w:style>
  <w:style w:type="paragraph" w:styleId="7">
    <w:name w:val="Body Text"/>
    <w:basedOn w:val="1"/>
    <w:next w:val="5"/>
    <w:qFormat/>
    <w:uiPriority w:val="0"/>
    <w:pPr>
      <w:tabs>
        <w:tab w:val="left" w:pos="567"/>
      </w:tabs>
      <w:spacing w:before="120" w:line="22" w:lineRule="atLeast"/>
    </w:pPr>
    <w:rPr>
      <w:rFonts w:ascii="宋体" w:hAnsi="宋体"/>
      <w:sz w:val="24"/>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1 字符"/>
    <w:link w:val="4"/>
    <w:autoRedefine/>
    <w:qFormat/>
    <w:uiPriority w:val="0"/>
    <w:rPr>
      <w:rFonts w:ascii="黑体" w:eastAsia="黑体"/>
      <w:sz w:val="28"/>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1825</Words>
  <Characters>1832</Characters>
  <Lines>0</Lines>
  <Paragraphs>0</Paragraphs>
  <TotalTime>0</TotalTime>
  <ScaleCrop>false</ScaleCrop>
  <LinksUpToDate>false</LinksUpToDate>
  <CharactersWithSpaces>1986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2025-06-04T15:25:00Z</dcterms:created>
  <dc:creator>dell</dc:creator>
  <cp:lastModifiedBy>WPS_1526284077</cp:lastModifiedBy>
  <dcterms:modified xsi:type="dcterms:W3CDTF">2026-04-28T06:49:06Z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eyJoZGlkIjoiN2M0NTdjYmM1YjY4OGU5YTNhODc4MDEyNDYzOWU1MWQiLCJ1c2VySWQiOiIzNzA0MjM3MzgifQ==</vt:lpwstr>
  </property>
  <property fmtid="{D5CDD505-2E9C-101B-9397-08002B2CF9AE}" pid="4" name="ICV">
    <vt:lpwstr>673A4C8B7A3E4B0494A2AB0BA84623F1_12</vt:lpwstr>
  </property>
</Properties>
</file>