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BE7E5">
      <w:pPr>
        <w:pStyle w:val="20"/>
        <w:jc w:val="center"/>
        <w:outlineLvl w:val="1"/>
      </w:pPr>
      <w:r>
        <w:rPr>
          <w:rFonts w:ascii="仿宋_GB2312" w:hAnsi="仿宋_GB2312" w:eastAsia="仿宋_GB2312" w:cs="仿宋_GB2312"/>
          <w:b/>
          <w:sz w:val="36"/>
        </w:rPr>
        <w:t>拟签订采购合同文本</w:t>
      </w:r>
    </w:p>
    <w:p w14:paraId="040AF41A">
      <w:pPr>
        <w:pStyle w:val="16"/>
        <w:rPr>
          <w:rFonts w:hint="eastAsia"/>
          <w:lang w:eastAsia="zh-CN"/>
        </w:rPr>
      </w:pPr>
    </w:p>
    <w:p w14:paraId="668AF170">
      <w:pPr>
        <w:spacing w:line="360" w:lineRule="auto"/>
        <w:ind w:firstLine="361" w:firstLineChars="150"/>
        <w:jc w:val="center"/>
        <w:rPr>
          <w:rFonts w:hint="default" w:hAnsi="宋体" w:cs="宋体"/>
          <w:b/>
          <w:color w:val="000000"/>
          <w:sz w:val="24"/>
          <w:szCs w:val="21"/>
          <w:lang w:val="en-US" w:eastAsia="zh-CN"/>
        </w:rPr>
      </w:pPr>
      <w:r>
        <w:rPr>
          <w:rFonts w:hint="eastAsia" w:hAnsi="宋体" w:cs="宋体"/>
          <w:b/>
          <w:color w:val="000000"/>
          <w:sz w:val="24"/>
          <w:szCs w:val="21"/>
          <w:lang w:val="en-US" w:eastAsia="zh-CN"/>
        </w:rPr>
        <w:t>（最终以双方签订的合同为准）</w:t>
      </w:r>
    </w:p>
    <w:p w14:paraId="6FC2AAEC">
      <w:pPr>
        <w:pStyle w:val="10"/>
        <w:keepNext w:val="0"/>
        <w:keepLines w:val="0"/>
        <w:pageBreakBefore w:val="0"/>
        <w:kinsoku/>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032E6794">
      <w:pPr>
        <w:pStyle w:val="10"/>
        <w:keepNext w:val="0"/>
        <w:keepLines w:val="0"/>
        <w:pageBreakBefore w:val="0"/>
        <w:kinsoku/>
        <w:overflowPunct/>
        <w:topLinePunct w:val="0"/>
        <w:bidi w:val="0"/>
        <w:spacing w:line="360" w:lineRule="auto"/>
        <w:textAlignment w:val="auto"/>
        <w:rPr>
          <w:rFonts w:hint="eastAsia" w:ascii="宋体" w:hAnsi="宋体" w:eastAsia="宋体" w:cs="宋体"/>
          <w:bCs/>
          <w:sz w:val="24"/>
          <w:szCs w:val="24"/>
          <w:highlight w:val="non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06153932">
      <w:pPr>
        <w:keepNext w:val="0"/>
        <w:keepLines w:val="0"/>
        <w:pageBreakBefore w:val="0"/>
        <w:kinsoku/>
        <w:overflowPunct/>
        <w:topLinePunct w:val="0"/>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依据《中华人民共和国民法典》</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《中华人民共和国政府采购法》有关规定和</w:t>
      </w:r>
      <w:r>
        <w:rPr>
          <w:rFonts w:hint="eastAsia" w:ascii="宋体" w:hAnsi="宋体" w:eastAsia="宋体" w:cs="宋体"/>
          <w:bCs/>
          <w:sz w:val="24"/>
          <w:szCs w:val="24"/>
          <w:highlight w:val="none"/>
          <w:lang w:val="en-US" w:eastAsia="zh-CN"/>
        </w:rPr>
        <w:t>西安博物院“长安有故里——丝路少年大唐行”巡展项目磋商</w:t>
      </w:r>
      <w:r>
        <w:rPr>
          <w:rFonts w:hint="eastAsia" w:ascii="宋体" w:hAnsi="宋体" w:eastAsia="宋体" w:cs="宋体"/>
          <w:bCs/>
          <w:sz w:val="24"/>
          <w:szCs w:val="24"/>
          <w:highlight w:val="none"/>
        </w:rPr>
        <w:t>文件、乙方</w:t>
      </w:r>
      <w:r>
        <w:rPr>
          <w:rFonts w:hint="eastAsia" w:ascii="宋体" w:hAnsi="宋体" w:eastAsia="宋体" w:cs="宋体"/>
          <w:bCs/>
          <w:sz w:val="24"/>
          <w:szCs w:val="24"/>
          <w:highlight w:val="none"/>
          <w:lang w:val="en-US" w:eastAsia="zh-CN"/>
        </w:rPr>
        <w:t>响应</w:t>
      </w:r>
      <w:r>
        <w:rPr>
          <w:rFonts w:hint="eastAsia" w:ascii="宋体" w:hAnsi="宋体" w:eastAsia="宋体" w:cs="宋体"/>
          <w:bCs/>
          <w:sz w:val="24"/>
          <w:szCs w:val="24"/>
          <w:highlight w:val="none"/>
        </w:rPr>
        <w:t>文件，经甲乙双方协商，签订本合同，共同信守。</w:t>
      </w:r>
    </w:p>
    <w:p w14:paraId="617D8C1C">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宋体" w:hAnsi="宋体" w:eastAsia="宋体" w:cs="宋体"/>
          <w:b/>
          <w:bCs/>
          <w:sz w:val="24"/>
          <w:szCs w:val="24"/>
          <w:highlight w:val="none"/>
          <w:lang w:val="zh-CN"/>
        </w:rPr>
      </w:pPr>
      <w:bookmarkStart w:id="0" w:name="_Toc24336"/>
      <w:bookmarkStart w:id="1" w:name="_Toc6164"/>
      <w:bookmarkStart w:id="2" w:name="_Toc23670"/>
      <w:bookmarkStart w:id="3" w:name="_Toc26755"/>
      <w:bookmarkStart w:id="4" w:name="_Toc26888"/>
      <w:bookmarkStart w:id="5" w:name="_Toc13189"/>
      <w:r>
        <w:rPr>
          <w:rFonts w:hint="eastAsia" w:ascii="宋体" w:hAnsi="宋体" w:eastAsia="宋体" w:cs="宋体"/>
          <w:b/>
          <w:bCs/>
          <w:sz w:val="24"/>
          <w:szCs w:val="24"/>
          <w:highlight w:val="none"/>
        </w:rPr>
        <w:t>一、服务内容</w:t>
      </w:r>
      <w:bookmarkEnd w:id="0"/>
      <w:bookmarkEnd w:id="1"/>
      <w:bookmarkEnd w:id="2"/>
      <w:bookmarkEnd w:id="3"/>
      <w:bookmarkEnd w:id="4"/>
      <w:bookmarkEnd w:id="5"/>
    </w:p>
    <w:p w14:paraId="68116F19">
      <w:pPr>
        <w:pStyle w:val="10"/>
        <w:keepNext w:val="0"/>
        <w:keepLines w:val="0"/>
        <w:pageBreakBefore w:val="0"/>
        <w:widowControl w:val="0"/>
        <w:kinsoku/>
        <w:wordWrap/>
        <w:overflowPunct/>
        <w:topLinePunct w:val="0"/>
        <w:autoSpaceDE/>
        <w:autoSpaceDN/>
        <w:bidi w:val="0"/>
        <w:snapToGrid w:val="0"/>
        <w:spacing w:line="360" w:lineRule="auto"/>
        <w:ind w:firstLine="480" w:firstLineChars="200"/>
        <w:jc w:val="left"/>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u w:val="single"/>
          <w:lang w:val="en-US" w:eastAsia="zh-CN"/>
        </w:rPr>
        <w:t>根据采购人需求，为“长安有故里—丝路少年大唐行”展览文物提供所需的包装材料、包装箱、包装及拆包装、装卸、协助布撤展、文物专用运输车辆陆路运输及文物保险等相关服务</w:t>
      </w:r>
      <w:r>
        <w:rPr>
          <w:rFonts w:hint="eastAsia" w:hAnsi="宋体"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运输方式：陆路运输</w:t>
      </w:r>
      <w:r>
        <w:rPr>
          <w:rFonts w:hint="eastAsia" w:hAnsi="宋体"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展品清单:99件组，具体以采购人最终确认为准</w:t>
      </w:r>
      <w:r>
        <w:rPr>
          <w:rFonts w:hint="eastAsia" w:hAnsi="宋体"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运输路线:咸阳博物院→西安博物院→甘肃简牍博物馆→西安博物院</w:t>
      </w:r>
      <w:r>
        <w:rPr>
          <w:rFonts w:hint="eastAsia" w:hAnsi="宋体" w:cs="宋体"/>
          <w:sz w:val="24"/>
          <w:szCs w:val="24"/>
          <w:highlight w:val="none"/>
          <w:u w:val="single"/>
          <w:lang w:val="en-US" w:eastAsia="zh-CN"/>
        </w:rPr>
        <w:t>。</w:t>
      </w:r>
    </w:p>
    <w:p w14:paraId="17C004A8">
      <w:pPr>
        <w:pStyle w:val="10"/>
        <w:keepNext w:val="0"/>
        <w:keepLines w:val="0"/>
        <w:pageBreakBefore w:val="0"/>
        <w:widowControl w:val="0"/>
        <w:kinsoku/>
        <w:wordWrap/>
        <w:overflowPunct/>
        <w:topLinePunct w:val="0"/>
        <w:autoSpaceDE/>
        <w:autoSpaceDN/>
        <w:bidi w:val="0"/>
        <w:snapToGrid w:val="0"/>
        <w:spacing w:line="360" w:lineRule="auto"/>
        <w:ind w:firstLine="480" w:firstLineChars="200"/>
        <w:jc w:val="left"/>
        <w:textAlignment w:val="auto"/>
        <w:rPr>
          <w:rFonts w:hint="default" w:ascii="宋体" w:hAnsi="宋体" w:eastAsia="宋体" w:cs="宋体"/>
          <w:b w:val="0"/>
          <w:bCs w:val="0"/>
          <w:color w:val="000000"/>
          <w:sz w:val="24"/>
          <w:szCs w:val="24"/>
          <w:highlight w:val="none"/>
          <w:u w:val="single"/>
          <w:lang w:val="en-US" w:eastAsia="zh-CN"/>
        </w:rPr>
      </w:pPr>
      <w:r>
        <w:rPr>
          <w:rFonts w:hint="eastAsia" w:ascii="宋体" w:hAnsi="宋体" w:eastAsia="宋体" w:cs="宋体"/>
          <w:sz w:val="24"/>
          <w:szCs w:val="24"/>
          <w:highlight w:val="none"/>
          <w:lang w:val="en-US" w:eastAsia="zh-CN"/>
        </w:rPr>
        <w:t>（二）工作范围：</w:t>
      </w:r>
      <w:r>
        <w:rPr>
          <w:rFonts w:hint="eastAsia" w:hAnsi="宋体" w:cs="宋体"/>
          <w:sz w:val="24"/>
          <w:szCs w:val="24"/>
          <w:highlight w:val="none"/>
          <w:u w:val="single"/>
          <w:lang w:val="en-US" w:eastAsia="zh-CN"/>
        </w:rPr>
        <w:t>采购文件要求的全部范围。</w:t>
      </w:r>
    </w:p>
    <w:p w14:paraId="0B0621B4">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宋体" w:hAnsi="宋体" w:eastAsia="宋体" w:cs="宋体"/>
          <w:b/>
          <w:bCs/>
          <w:sz w:val="24"/>
          <w:szCs w:val="24"/>
          <w:highlight w:val="none"/>
        </w:rPr>
      </w:pPr>
      <w:bookmarkStart w:id="6" w:name="_Toc21875"/>
      <w:bookmarkStart w:id="7" w:name="_Toc16211"/>
      <w:bookmarkStart w:id="8" w:name="_Toc9778"/>
      <w:bookmarkStart w:id="9" w:name="_Toc1857"/>
      <w:bookmarkStart w:id="10" w:name="_Toc23408"/>
      <w:bookmarkStart w:id="11" w:name="_Toc19967"/>
      <w:r>
        <w:rPr>
          <w:rFonts w:hint="eastAsia" w:ascii="宋体" w:hAnsi="宋体" w:eastAsia="宋体" w:cs="宋体"/>
          <w:b/>
          <w:bCs/>
          <w:sz w:val="24"/>
          <w:szCs w:val="24"/>
          <w:highlight w:val="none"/>
        </w:rPr>
        <w:t>二、合同价款</w:t>
      </w:r>
      <w:bookmarkEnd w:id="6"/>
      <w:bookmarkEnd w:id="7"/>
      <w:bookmarkEnd w:id="8"/>
      <w:bookmarkEnd w:id="9"/>
      <w:bookmarkEnd w:id="10"/>
      <w:bookmarkEnd w:id="11"/>
    </w:p>
    <w:p w14:paraId="7AFCA775">
      <w:pPr>
        <w:keepNext w:val="0"/>
        <w:keepLines w:val="0"/>
        <w:pageBreakBefore w:val="0"/>
        <w:kinsoku/>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w:t>
      </w:r>
      <w:r>
        <w:rPr>
          <w:rFonts w:hint="eastAsia" w:ascii="宋体" w:hAnsi="宋体" w:eastAsia="宋体" w:cs="宋体"/>
          <w:bCs/>
          <w:sz w:val="24"/>
          <w:szCs w:val="24"/>
          <w:highlight w:val="none"/>
          <w:lang w:val="en-US" w:eastAsia="zh-CN"/>
        </w:rPr>
        <w:t>中标</w:t>
      </w:r>
      <w:r>
        <w:rPr>
          <w:rFonts w:hint="eastAsia" w:ascii="宋体" w:hAnsi="宋体" w:eastAsia="宋体" w:cs="宋体"/>
          <w:bCs/>
          <w:sz w:val="24"/>
          <w:szCs w:val="24"/>
          <w:highlight w:val="none"/>
        </w:rPr>
        <w:t>金额）：</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w:t>
      </w:r>
    </w:p>
    <w:p w14:paraId="58300B49">
      <w:pPr>
        <w:keepNext w:val="0"/>
        <w:keepLines w:val="0"/>
        <w:pageBreakBefore w:val="0"/>
        <w:kinsoku/>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（二）合同价款包括但不限于以下费用：</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w:t>
      </w:r>
    </w:p>
    <w:p w14:paraId="6BAFE851">
      <w:pPr>
        <w:keepNext w:val="0"/>
        <w:keepLines w:val="0"/>
        <w:pageBreakBefore w:val="0"/>
        <w:kinsoku/>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（三）合同类型：固定总价合同。</w:t>
      </w:r>
    </w:p>
    <w:p w14:paraId="45494B0D">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宋体" w:hAnsi="宋体" w:eastAsia="宋体" w:cs="宋体"/>
          <w:b/>
          <w:bCs/>
          <w:sz w:val="24"/>
          <w:szCs w:val="24"/>
          <w:highlight w:val="none"/>
          <w:lang w:val="en-US" w:eastAsia="zh-CN"/>
        </w:rPr>
      </w:pPr>
      <w:bookmarkStart w:id="12" w:name="_Toc5852"/>
      <w:bookmarkStart w:id="13" w:name="_Toc18619"/>
      <w:bookmarkStart w:id="14" w:name="_Toc10028"/>
      <w:bookmarkStart w:id="15" w:name="_Toc6381"/>
      <w:bookmarkStart w:id="16" w:name="_Toc25402"/>
      <w:bookmarkStart w:id="17" w:name="_Toc23275"/>
      <w:r>
        <w:rPr>
          <w:rFonts w:hint="eastAsia" w:ascii="宋体" w:hAnsi="宋体" w:eastAsia="宋体" w:cs="宋体"/>
          <w:b/>
          <w:bCs/>
          <w:sz w:val="24"/>
          <w:szCs w:val="24"/>
          <w:highlight w:val="none"/>
        </w:rPr>
        <w:t>三、付款</w:t>
      </w:r>
      <w:r>
        <w:rPr>
          <w:rFonts w:hint="eastAsia" w:ascii="宋体" w:hAnsi="宋体" w:eastAsia="宋体" w:cs="宋体"/>
          <w:b/>
          <w:bCs/>
          <w:sz w:val="24"/>
          <w:szCs w:val="24"/>
          <w:highlight w:val="none"/>
          <w:lang w:eastAsia="zh-CN"/>
        </w:rPr>
        <w:t>方式</w:t>
      </w:r>
      <w:bookmarkEnd w:id="12"/>
      <w:bookmarkEnd w:id="13"/>
      <w:bookmarkEnd w:id="14"/>
      <w:bookmarkEnd w:id="15"/>
      <w:bookmarkEnd w:id="16"/>
      <w:bookmarkEnd w:id="17"/>
    </w:p>
    <w:p w14:paraId="2DB3CF03">
      <w:pPr>
        <w:keepNext w:val="0"/>
        <w:keepLines w:val="0"/>
        <w:pageBreakBefore w:val="0"/>
        <w:kinsoku/>
        <w:overflowPunct/>
        <w:topLinePunct w:val="0"/>
        <w:autoSpaceDE w:val="0"/>
        <w:autoSpaceDN w:val="0"/>
        <w:bidi w:val="0"/>
        <w:snapToGrid w:val="0"/>
        <w:spacing w:line="360" w:lineRule="auto"/>
        <w:ind w:firstLine="480" w:firstLineChars="200"/>
        <w:textAlignment w:val="auto"/>
        <w:outlineLvl w:val="1"/>
        <w:rPr>
          <w:rFonts w:hint="eastAsia" w:ascii="宋体" w:hAnsi="宋体" w:cs="宋体"/>
          <w:bCs/>
          <w:sz w:val="24"/>
          <w:szCs w:val="24"/>
          <w:highlight w:val="none"/>
          <w:u w:val="single"/>
          <w:lang w:val="en-US" w:eastAsia="zh-CN"/>
        </w:rPr>
      </w:pPr>
      <w:bookmarkStart w:id="18" w:name="_Toc4499"/>
      <w:bookmarkStart w:id="19" w:name="_Toc26335"/>
      <w:bookmarkStart w:id="20" w:name="_Toc8134"/>
      <w:bookmarkStart w:id="21" w:name="_Toc13114"/>
      <w:bookmarkStart w:id="22" w:name="_Toc5029"/>
      <w:bookmarkStart w:id="23" w:name="_Toc1378"/>
      <w:r>
        <w:rPr>
          <w:rFonts w:hint="eastAsia" w:ascii="宋体" w:hAnsi="宋体" w:cs="宋体"/>
          <w:bCs/>
          <w:sz w:val="24"/>
          <w:szCs w:val="24"/>
          <w:highlight w:val="none"/>
          <w:u w:val="single"/>
          <w:lang w:val="en-US" w:eastAsia="zh-CN"/>
        </w:rPr>
        <w:t>（一）预付款于合同签订后 ，达到付款条件起 7 日内，支付合同总金额的 40.00%。</w:t>
      </w:r>
    </w:p>
    <w:p w14:paraId="5EA2ADB0">
      <w:pPr>
        <w:keepNext w:val="0"/>
        <w:keepLines w:val="0"/>
        <w:pageBreakBefore w:val="0"/>
        <w:kinsoku/>
        <w:overflowPunct/>
        <w:topLinePunct w:val="0"/>
        <w:autoSpaceDE w:val="0"/>
        <w:autoSpaceDN w:val="0"/>
        <w:bidi w:val="0"/>
        <w:snapToGrid w:val="0"/>
        <w:spacing w:line="360" w:lineRule="auto"/>
        <w:ind w:firstLine="480" w:firstLineChars="200"/>
        <w:textAlignment w:val="auto"/>
        <w:outlineLvl w:val="1"/>
        <w:rPr>
          <w:rFonts w:hint="eastAsia" w:ascii="宋体" w:hAnsi="宋体" w:cs="宋体"/>
          <w:bCs/>
          <w:sz w:val="24"/>
          <w:szCs w:val="24"/>
          <w:highlight w:val="none"/>
          <w:u w:val="single"/>
          <w:lang w:val="en-US" w:eastAsia="zh-CN"/>
        </w:rPr>
      </w:pPr>
      <w:r>
        <w:rPr>
          <w:rFonts w:hint="eastAsia" w:ascii="宋体" w:hAnsi="宋体" w:cs="宋体"/>
          <w:bCs/>
          <w:sz w:val="24"/>
          <w:szCs w:val="24"/>
          <w:highlight w:val="none"/>
          <w:u w:val="single"/>
          <w:lang w:val="en-US" w:eastAsia="zh-CN"/>
        </w:rPr>
        <w:t>（二）甘肃简牍博物馆布展结束后，达到付款条件起 7 日内，支付合同总金额的 30.00%。</w:t>
      </w:r>
    </w:p>
    <w:p w14:paraId="2C1466E5">
      <w:pPr>
        <w:keepNext w:val="0"/>
        <w:keepLines w:val="0"/>
        <w:pageBreakBefore w:val="0"/>
        <w:kinsoku/>
        <w:overflowPunct/>
        <w:topLinePunct w:val="0"/>
        <w:autoSpaceDE w:val="0"/>
        <w:autoSpaceDN w:val="0"/>
        <w:bidi w:val="0"/>
        <w:snapToGrid w:val="0"/>
        <w:spacing w:line="360" w:lineRule="auto"/>
        <w:ind w:firstLine="480" w:firstLineChars="200"/>
        <w:textAlignment w:val="auto"/>
        <w:outlineLvl w:val="1"/>
        <w:rPr>
          <w:rFonts w:hint="eastAsia" w:ascii="宋体" w:hAnsi="宋体" w:eastAsia="宋体" w:cs="宋体"/>
          <w:bCs/>
          <w:sz w:val="24"/>
          <w:szCs w:val="24"/>
          <w:highlight w:val="none"/>
          <w:u w:val="single"/>
        </w:rPr>
      </w:pPr>
      <w:r>
        <w:rPr>
          <w:rFonts w:hint="eastAsia" w:ascii="宋体" w:hAnsi="宋体" w:cs="宋体"/>
          <w:bCs/>
          <w:sz w:val="24"/>
          <w:szCs w:val="24"/>
          <w:highlight w:val="none"/>
          <w:u w:val="single"/>
          <w:lang w:val="en-US" w:eastAsia="zh-CN"/>
        </w:rPr>
        <w:t>（三）所有工作内容全部完成且经甲方验收合格后，达到付款条件起 7 日内，支付合同总金额的 30.00%</w:t>
      </w:r>
      <w:r>
        <w:rPr>
          <w:rFonts w:hint="eastAsia" w:ascii="宋体" w:hAnsi="宋体" w:eastAsia="宋体" w:cs="宋体"/>
          <w:bCs/>
          <w:sz w:val="24"/>
          <w:szCs w:val="24"/>
          <w:highlight w:val="none"/>
          <w:u w:val="single"/>
        </w:rPr>
        <w:t>。</w:t>
      </w:r>
    </w:p>
    <w:p w14:paraId="69AE946D">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sz w:val="24"/>
          <w:szCs w:val="24"/>
          <w:highlight w:val="none"/>
        </w:rPr>
        <w:t>四</w:t>
      </w:r>
      <w:r>
        <w:rPr>
          <w:rFonts w:hint="eastAsia" w:ascii="宋体" w:hAnsi="宋体" w:eastAsia="宋体" w:cs="宋体"/>
          <w:bCs/>
          <w:kern w:val="2"/>
          <w:sz w:val="24"/>
          <w:szCs w:val="24"/>
          <w:highlight w:val="none"/>
          <w:lang w:val="en-US" w:eastAsia="zh-CN" w:bidi="ar-SA"/>
        </w:rPr>
        <w:t>、</w:t>
      </w:r>
      <w:r>
        <w:rPr>
          <w:rFonts w:hint="eastAsia" w:ascii="宋体" w:hAnsi="宋体" w:eastAsia="宋体" w:cs="宋体"/>
          <w:b/>
          <w:bCs w:val="0"/>
          <w:kern w:val="2"/>
          <w:sz w:val="24"/>
          <w:szCs w:val="24"/>
          <w:highlight w:val="none"/>
          <w:lang w:val="en-US" w:eastAsia="zh-CN" w:bidi="ar-SA"/>
        </w:rPr>
        <w:t>服务期限及服务地点</w:t>
      </w:r>
      <w:bookmarkEnd w:id="18"/>
      <w:bookmarkEnd w:id="19"/>
      <w:bookmarkEnd w:id="20"/>
      <w:bookmarkEnd w:id="21"/>
      <w:bookmarkEnd w:id="22"/>
      <w:bookmarkEnd w:id="23"/>
    </w:p>
    <w:p w14:paraId="153949BD">
      <w:pPr>
        <w:pStyle w:val="15"/>
        <w:keepNext w:val="0"/>
        <w:keepLines w:val="0"/>
        <w:pageBreakBefore w:val="0"/>
        <w:kinsoku/>
        <w:overflowPunct/>
        <w:topLinePunct w:val="0"/>
        <w:bidi w:val="0"/>
        <w:spacing w:line="360" w:lineRule="auto"/>
        <w:ind w:firstLine="480" w:firstLineChars="200"/>
        <w:textAlignment w:val="auto"/>
        <w:rPr>
          <w:rFonts w:hint="eastAsia" w:ascii="宋体" w:hAnsi="宋体" w:eastAsia="宋体" w:cs="宋体"/>
          <w:sz w:val="24"/>
          <w:szCs w:val="24"/>
          <w:highlight w:val="none"/>
          <w:u w:val="single"/>
          <w:lang w:val="en-US"/>
        </w:rPr>
      </w:pPr>
      <w:r>
        <w:rPr>
          <w:rFonts w:hint="eastAsia" w:ascii="宋体" w:hAnsi="宋体" w:eastAsia="宋体" w:cs="宋体"/>
          <w:bCs/>
          <w:kern w:val="2"/>
          <w:sz w:val="24"/>
          <w:szCs w:val="24"/>
          <w:highlight w:val="none"/>
          <w:lang w:val="en-US" w:eastAsia="zh-CN" w:bidi="ar-SA"/>
        </w:rPr>
        <w:t>（一）服务期限：</w:t>
      </w:r>
      <w:r>
        <w:rPr>
          <w:rFonts w:hint="eastAsia" w:ascii="宋体" w:hAnsi="宋体" w:eastAsia="宋体" w:cs="宋体"/>
          <w:bCs/>
          <w:kern w:val="2"/>
          <w:sz w:val="24"/>
          <w:szCs w:val="24"/>
          <w:highlight w:val="none"/>
          <w:u w:val="single"/>
          <w:lang w:val="en-US" w:eastAsia="zh-CN" w:bidi="ar-SA"/>
        </w:rPr>
        <w:t>自合同签订之日起至完成所有服务内容</w:t>
      </w:r>
      <w:r>
        <w:rPr>
          <w:rFonts w:hint="eastAsia" w:ascii="宋体" w:hAnsi="宋体" w:cs="宋体"/>
          <w:bCs/>
          <w:kern w:val="2"/>
          <w:sz w:val="24"/>
          <w:szCs w:val="24"/>
          <w:highlight w:val="none"/>
          <w:u w:val="single"/>
          <w:lang w:val="en-US" w:eastAsia="zh-CN" w:bidi="ar-SA"/>
        </w:rPr>
        <w:t>。</w:t>
      </w:r>
    </w:p>
    <w:p w14:paraId="26F1FC1A">
      <w:pPr>
        <w:pStyle w:val="24"/>
        <w:keepNext w:val="0"/>
        <w:keepLines w:val="0"/>
        <w:pageBreakBefore w:val="0"/>
        <w:kinsoku/>
        <w:overflowPunct/>
        <w:topLinePunct w:val="0"/>
        <w:bidi w:val="0"/>
        <w:snapToGrid w:val="0"/>
        <w:spacing w:line="360" w:lineRule="auto"/>
        <w:ind w:firstLine="480" w:firstLineChars="200"/>
        <w:textAlignment w:val="auto"/>
        <w:rPr>
          <w:rFonts w:hint="eastAsia" w:ascii="宋体" w:hAnsi="宋体" w:eastAsia="宋体" w:cs="宋体"/>
          <w:b/>
          <w:bCs/>
          <w:sz w:val="24"/>
          <w:szCs w:val="24"/>
          <w:highlight w:val="none"/>
        </w:rPr>
      </w:pPr>
      <w:r>
        <w:rPr>
          <w:rFonts w:hint="eastAsia" w:ascii="宋体" w:hAnsi="宋体" w:eastAsia="宋体" w:cs="宋体"/>
          <w:bCs/>
          <w:kern w:val="2"/>
          <w:sz w:val="24"/>
          <w:szCs w:val="24"/>
          <w:highlight w:val="none"/>
          <w:lang w:val="en-US" w:eastAsia="zh-CN" w:bidi="ar-SA"/>
        </w:rPr>
        <w:t>（二）服务地</w:t>
      </w:r>
      <w:r>
        <w:rPr>
          <w:rFonts w:hint="eastAsia" w:ascii="宋体" w:hAnsi="宋体" w:eastAsia="宋体" w:cs="宋体"/>
          <w:bCs/>
          <w:sz w:val="24"/>
          <w:szCs w:val="24"/>
          <w:highlight w:val="none"/>
        </w:rPr>
        <w:t>点：</w:t>
      </w:r>
      <w:r>
        <w:rPr>
          <w:rFonts w:hint="eastAsia" w:ascii="宋体" w:hAnsi="宋体" w:eastAsia="宋体" w:cs="宋体"/>
          <w:bCs/>
          <w:sz w:val="24"/>
          <w:szCs w:val="24"/>
          <w:highlight w:val="none"/>
          <w:u w:val="single"/>
        </w:rPr>
        <w:t>采购人指定地点</w:t>
      </w:r>
      <w:bookmarkStart w:id="24" w:name="_Toc23281"/>
      <w:r>
        <w:rPr>
          <w:rFonts w:hint="eastAsia" w:ascii="宋体" w:hAnsi="宋体" w:eastAsia="宋体" w:cs="宋体"/>
          <w:bCs/>
          <w:sz w:val="24"/>
          <w:szCs w:val="24"/>
          <w:highlight w:val="none"/>
          <w:u w:val="single"/>
          <w:lang w:val="en-US" w:eastAsia="zh-CN"/>
        </w:rPr>
        <w:t>。</w:t>
      </w:r>
    </w:p>
    <w:p w14:paraId="5FC1A3B4">
      <w:pPr>
        <w:pStyle w:val="24"/>
        <w:keepNext w:val="0"/>
        <w:keepLines w:val="0"/>
        <w:pageBreakBefore w:val="0"/>
        <w:kinsoku/>
        <w:overflowPunct/>
        <w:topLinePunct w:val="0"/>
        <w:bidi w:val="0"/>
        <w:snapToGrid w:val="0"/>
        <w:spacing w:line="360" w:lineRule="auto"/>
        <w:textAlignment w:val="auto"/>
        <w:outlineLvl w:val="1"/>
        <w:rPr>
          <w:rFonts w:hint="eastAsia" w:ascii="宋体" w:hAnsi="宋体" w:eastAsia="宋体" w:cs="宋体"/>
          <w:b/>
          <w:bCs/>
          <w:color w:val="auto"/>
          <w:sz w:val="24"/>
          <w:szCs w:val="24"/>
          <w:highlight w:val="none"/>
          <w:shd w:val="clear" w:color="auto" w:fill="FFFFFF"/>
        </w:rPr>
      </w:pPr>
      <w:bookmarkStart w:id="25" w:name="_Toc11982"/>
      <w:bookmarkStart w:id="26" w:name="_Toc19244"/>
      <w:bookmarkStart w:id="27" w:name="_Toc19754"/>
      <w:bookmarkStart w:id="28" w:name="_Toc20671"/>
      <w:bookmarkStart w:id="29" w:name="_Toc10843"/>
      <w:r>
        <w:rPr>
          <w:rFonts w:hint="eastAsia" w:ascii="宋体" w:hAnsi="宋体" w:eastAsia="宋体" w:cs="宋体"/>
          <w:b/>
          <w:bCs/>
          <w:sz w:val="24"/>
          <w:szCs w:val="24"/>
          <w:highlight w:val="none"/>
        </w:rPr>
        <w:t>五、</w:t>
      </w:r>
      <w:r>
        <w:rPr>
          <w:rFonts w:hint="eastAsia" w:ascii="宋体" w:hAnsi="宋体" w:eastAsia="宋体" w:cs="宋体"/>
          <w:b/>
          <w:bCs/>
          <w:color w:val="auto"/>
          <w:sz w:val="24"/>
          <w:szCs w:val="24"/>
          <w:highlight w:val="none"/>
          <w:shd w:val="clear" w:color="auto" w:fill="FFFFFF"/>
        </w:rPr>
        <w:t>服务质量</w:t>
      </w:r>
      <w:r>
        <w:rPr>
          <w:rFonts w:hint="eastAsia" w:ascii="宋体" w:hAnsi="宋体" w:eastAsia="宋体" w:cs="宋体"/>
          <w:b/>
          <w:bCs/>
          <w:color w:val="auto"/>
          <w:sz w:val="24"/>
          <w:szCs w:val="24"/>
          <w:highlight w:val="none"/>
          <w:shd w:val="clear" w:color="auto" w:fill="FFFFFF"/>
          <w:lang w:val="en-US" w:eastAsia="zh-CN"/>
        </w:rPr>
        <w:t>标准及</w:t>
      </w:r>
      <w:r>
        <w:rPr>
          <w:rFonts w:hint="eastAsia" w:ascii="宋体" w:hAnsi="宋体" w:eastAsia="宋体" w:cs="宋体"/>
          <w:b/>
          <w:bCs/>
          <w:color w:val="auto"/>
          <w:sz w:val="24"/>
          <w:szCs w:val="24"/>
          <w:highlight w:val="none"/>
          <w:shd w:val="clear" w:color="auto" w:fill="FFFFFF"/>
        </w:rPr>
        <w:t>要求</w:t>
      </w:r>
      <w:bookmarkEnd w:id="24"/>
      <w:bookmarkEnd w:id="25"/>
      <w:bookmarkEnd w:id="26"/>
      <w:bookmarkEnd w:id="27"/>
      <w:bookmarkEnd w:id="28"/>
      <w:bookmarkEnd w:id="29"/>
    </w:p>
    <w:p w14:paraId="4BC0C74D">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宋体" w:hAnsi="宋体" w:cs="宋体"/>
          <w:bCs/>
          <w:sz w:val="24"/>
          <w:szCs w:val="24"/>
          <w:highlight w:val="none"/>
          <w:u w:val="single"/>
          <w:lang w:val="en-US" w:eastAsia="zh-CN"/>
        </w:rPr>
      </w:pPr>
      <w:r>
        <w:rPr>
          <w:rFonts w:hint="eastAsia" w:ascii="宋体" w:hAnsi="宋体" w:cs="宋体"/>
          <w:bCs/>
          <w:sz w:val="24"/>
          <w:szCs w:val="24"/>
          <w:highlight w:val="none"/>
          <w:u w:val="single"/>
          <w:lang w:val="en-US" w:eastAsia="zh-CN"/>
        </w:rPr>
        <w:t>服务质量需达到但不限于下列现行主要的中华人民共和国以及省、市或行业的“合格”标准或规范的要求：</w:t>
      </w:r>
    </w:p>
    <w:p w14:paraId="616E390C">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宋体" w:hAnsi="宋体" w:cs="宋体"/>
          <w:bCs/>
          <w:sz w:val="24"/>
          <w:szCs w:val="24"/>
          <w:highlight w:val="none"/>
          <w:u w:val="single"/>
          <w:lang w:val="en-US" w:eastAsia="zh-CN"/>
        </w:rPr>
      </w:pPr>
      <w:r>
        <w:rPr>
          <w:rFonts w:hint="eastAsia" w:ascii="宋体" w:hAnsi="宋体" w:cs="宋体"/>
          <w:bCs/>
          <w:sz w:val="24"/>
          <w:szCs w:val="24"/>
          <w:highlight w:val="none"/>
          <w:u w:val="single"/>
          <w:lang w:val="en-US" w:eastAsia="zh-CN"/>
        </w:rPr>
        <w:t>（一）包装箱须符合《文物包装与运输规范》（GB/T 23862-2024）的要求及环保要求，且提供的包装箱应为博物馆级别木箱，整体采用环保复合板不低于E1标准。根据文物的特点，能够达到保护文物、适合长途运输且内外包装美观大方的作用和效果；</w:t>
      </w:r>
    </w:p>
    <w:p w14:paraId="1DD28FBE">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宋体" w:hAnsi="宋体" w:cs="宋体"/>
          <w:bCs/>
          <w:sz w:val="24"/>
          <w:szCs w:val="24"/>
          <w:highlight w:val="none"/>
          <w:u w:val="single"/>
          <w:lang w:val="en-US" w:eastAsia="zh-CN"/>
        </w:rPr>
      </w:pPr>
      <w:r>
        <w:rPr>
          <w:rFonts w:hint="eastAsia" w:ascii="宋体" w:hAnsi="宋体" w:cs="宋体"/>
          <w:bCs/>
          <w:sz w:val="24"/>
          <w:szCs w:val="24"/>
          <w:highlight w:val="none"/>
          <w:u w:val="single"/>
          <w:lang w:val="en-US" w:eastAsia="zh-CN"/>
        </w:rPr>
        <w:t>（二）提供的表面防护包装材料应使用柔软、无甲醛释放、对文物无污染的材料，如：无酸纸；无酸绵纸、无酸EPE珍珠棉、无酸丝绵；纯棉布制品，应符合国家检测标准（GB/T 1545-2008、GB/T 454-2020、GB/T 34448-2017、GB/T 12914-2018；GB/T 18583-2008、GB/T 7573-2009；GB/T 2912.1-2009）。发泡板应符合（GB/T 8624-2012、GB/T 17657-2022、GB/T 1034-2008）的要求；无酸纸板应符合（GB/T 1545-2008、GB/T 12914-2018）的要求。</w:t>
      </w:r>
    </w:p>
    <w:p w14:paraId="148F0D6D">
      <w:pPr>
        <w:keepNext w:val="0"/>
        <w:keepLines w:val="0"/>
        <w:pageBreakBefore w:val="0"/>
        <w:numPr>
          <w:ilvl w:val="0"/>
          <w:numId w:val="2"/>
        </w:numPr>
        <w:kinsoku/>
        <w:overflowPunct/>
        <w:topLinePunct w:val="0"/>
        <w:autoSpaceDE w:val="0"/>
        <w:autoSpaceDN w:val="0"/>
        <w:bidi w:val="0"/>
        <w:snapToGrid w:val="0"/>
        <w:spacing w:line="360" w:lineRule="auto"/>
        <w:textAlignment w:val="auto"/>
        <w:outlineLvl w:val="1"/>
        <w:rPr>
          <w:rFonts w:hint="eastAsia" w:ascii="宋体" w:hAnsi="宋体" w:eastAsia="宋体" w:cs="宋体"/>
          <w:b/>
          <w:bCs/>
          <w:sz w:val="24"/>
          <w:szCs w:val="24"/>
          <w:highlight w:val="none"/>
        </w:rPr>
      </w:pPr>
      <w:bookmarkStart w:id="30" w:name="_Toc15213"/>
      <w:bookmarkStart w:id="31" w:name="_Toc23438"/>
      <w:bookmarkStart w:id="32" w:name="_Toc16750"/>
      <w:bookmarkStart w:id="33" w:name="_Toc29027"/>
      <w:bookmarkStart w:id="34" w:name="_Toc14545"/>
      <w:bookmarkStart w:id="35" w:name="_Toc24110"/>
      <w:r>
        <w:rPr>
          <w:rFonts w:hint="eastAsia" w:ascii="宋体" w:hAnsi="宋体" w:eastAsia="宋体" w:cs="宋体"/>
          <w:b/>
          <w:bCs/>
          <w:sz w:val="24"/>
          <w:szCs w:val="24"/>
          <w:highlight w:val="none"/>
        </w:rPr>
        <w:t>双方的权利和义务</w:t>
      </w:r>
      <w:bookmarkEnd w:id="30"/>
      <w:bookmarkEnd w:id="31"/>
      <w:bookmarkEnd w:id="32"/>
      <w:bookmarkEnd w:id="33"/>
      <w:bookmarkEnd w:id="34"/>
      <w:bookmarkEnd w:id="35"/>
    </w:p>
    <w:p w14:paraId="45879AA7">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双方确定，在本合同有效期内，甲方指定</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为甲方项目联系人（电话：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），乙方指定</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为乙方项目联系人（电话：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A7F9265">
      <w:pPr>
        <w:keepNext w:val="0"/>
        <w:keepLines w:val="0"/>
        <w:pageBreakBefore w:val="0"/>
        <w:kinsoku/>
        <w:overflowPunct/>
        <w:topLinePunct w:val="0"/>
        <w:bidi w:val="0"/>
        <w:snapToGrid w:val="0"/>
        <w:spacing w:line="360" w:lineRule="auto"/>
        <w:ind w:firstLine="480" w:firstLineChars="200"/>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一方变更项目联系人的，应当及时以书面形式通知另一方。未及时通知并影响本合同履行或造成损失的，应承担相应的责任。</w:t>
      </w:r>
    </w:p>
    <w:p w14:paraId="3B8A027A">
      <w:pPr>
        <w:pStyle w:val="21"/>
        <w:keepNext w:val="0"/>
        <w:keepLines w:val="0"/>
        <w:pageBreakBefore w:val="0"/>
        <w:kinsoku/>
        <w:overflowPunct/>
        <w:topLinePunct w:val="0"/>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（一）甲方的权利和义务</w:t>
      </w:r>
    </w:p>
    <w:p w14:paraId="0E2DEC01">
      <w:pPr>
        <w:pStyle w:val="21"/>
        <w:keepNext w:val="0"/>
        <w:keepLines w:val="0"/>
        <w:pageBreakBefore w:val="0"/>
        <w:kinsoku/>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lang w:val="en-US" w:eastAsia="zh-CN"/>
        </w:rPr>
        <w:t xml:space="preserve">                                                                </w:t>
      </w:r>
    </w:p>
    <w:p w14:paraId="45E3D31E">
      <w:pPr>
        <w:pStyle w:val="21"/>
        <w:keepNext w:val="0"/>
        <w:keepLines w:val="0"/>
        <w:pageBreakBefore w:val="0"/>
        <w:kinsoku/>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p>
    <w:p w14:paraId="49DEEB85">
      <w:pPr>
        <w:pStyle w:val="21"/>
        <w:keepNext w:val="0"/>
        <w:keepLines w:val="0"/>
        <w:pageBreakBefore w:val="0"/>
        <w:kinsoku/>
        <w:overflowPunct/>
        <w:topLinePunct w:val="0"/>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（二）乙方的权利和义务</w:t>
      </w:r>
    </w:p>
    <w:p w14:paraId="1C840BC0">
      <w:pPr>
        <w:pStyle w:val="21"/>
        <w:keepNext w:val="0"/>
        <w:keepLines w:val="0"/>
        <w:pageBreakBefore w:val="0"/>
        <w:kinsoku/>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lang w:val="en-US" w:eastAsia="zh-CN"/>
        </w:rPr>
        <w:t xml:space="preserve">                                                                </w:t>
      </w:r>
    </w:p>
    <w:p w14:paraId="20D3010F">
      <w:pPr>
        <w:pStyle w:val="21"/>
        <w:keepNext w:val="0"/>
        <w:keepLines w:val="0"/>
        <w:pageBreakBefore w:val="0"/>
        <w:kinsoku/>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p>
    <w:p w14:paraId="59E92EDA">
      <w:pPr>
        <w:keepNext w:val="0"/>
        <w:keepLines w:val="0"/>
        <w:pageBreakBefore w:val="0"/>
        <w:kinsoku/>
        <w:overflowPunct/>
        <w:topLinePunct w:val="0"/>
        <w:bidi w:val="0"/>
        <w:snapToGrid w:val="0"/>
        <w:spacing w:line="360" w:lineRule="auto"/>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七</w:t>
      </w:r>
      <w:r>
        <w:rPr>
          <w:rFonts w:hint="eastAsia" w:ascii="宋体" w:hAnsi="宋体" w:eastAsia="宋体" w:cs="宋体"/>
          <w:b/>
          <w:sz w:val="24"/>
          <w:szCs w:val="24"/>
          <w:highlight w:val="none"/>
        </w:rPr>
        <w:t>、验收</w:t>
      </w:r>
      <w:r>
        <w:rPr>
          <w:rFonts w:hint="eastAsia" w:ascii="宋体" w:hAnsi="宋体" w:eastAsia="宋体" w:cs="宋体"/>
          <w:b/>
          <w:sz w:val="24"/>
          <w:szCs w:val="24"/>
          <w:highlight w:val="none"/>
          <w:lang w:val="en-US" w:eastAsia="zh-CN"/>
        </w:rPr>
        <w:t>要求</w:t>
      </w:r>
    </w:p>
    <w:p w14:paraId="4782F58A">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bookmarkStart w:id="36" w:name="_Toc21766"/>
      <w:bookmarkStart w:id="37" w:name="_Toc17878"/>
      <w:bookmarkStart w:id="38" w:name="_Toc28844"/>
      <w:bookmarkStart w:id="39" w:name="_Toc5597"/>
      <w:bookmarkStart w:id="40" w:name="_Toc22709"/>
      <w:bookmarkStart w:id="41" w:name="_Toc22460"/>
      <w:r>
        <w:rPr>
          <w:rFonts w:hint="eastAsia" w:ascii="宋体" w:hAnsi="宋体" w:eastAsia="宋体" w:cs="宋体"/>
          <w:sz w:val="24"/>
          <w:szCs w:val="24"/>
          <w:highlight w:val="none"/>
          <w:lang w:val="en-US" w:eastAsia="zh-CN"/>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w:t>
      </w:r>
    </w:p>
    <w:p w14:paraId="4E3B4771">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2、若发现服务商有弄虚作假的，以及在项目实施阶段故意或随意夸大服务，本项目合同解除，服务商赔偿采购人相应的损失。</w:t>
      </w:r>
    </w:p>
    <w:p w14:paraId="63541D1C">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3、验收标准：按竞争性磋商文件、响应文件等服务指标进行逐项验收，各项指标均应符合验收标准及要求。</w:t>
      </w:r>
    </w:p>
    <w:p w14:paraId="13DF41C4">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4、验收合格后，填写验收单，双方盖章、签字生效。</w:t>
      </w:r>
    </w:p>
    <w:p w14:paraId="41C53F74">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5、验收依据：（1）合同文本；（2）响应文件、竞争性磋商文件、澄清函（若有）；（3）国家和行业制定的相应的标准和规范。</w:t>
      </w:r>
    </w:p>
    <w:p w14:paraId="726B18DC">
      <w:pPr>
        <w:keepNext w:val="0"/>
        <w:keepLines w:val="0"/>
        <w:pageBreakBefore w:val="0"/>
        <w:kinsoku/>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八</w:t>
      </w:r>
      <w:r>
        <w:rPr>
          <w:rFonts w:hint="eastAsia" w:ascii="宋体" w:hAnsi="宋体" w:eastAsia="宋体" w:cs="宋体"/>
          <w:b/>
          <w:sz w:val="24"/>
          <w:szCs w:val="24"/>
          <w:highlight w:val="none"/>
        </w:rPr>
        <w:t>、违约责任</w:t>
      </w:r>
      <w:bookmarkEnd w:id="36"/>
      <w:bookmarkEnd w:id="37"/>
      <w:bookmarkEnd w:id="38"/>
      <w:bookmarkEnd w:id="39"/>
      <w:bookmarkEnd w:id="40"/>
      <w:bookmarkEnd w:id="41"/>
    </w:p>
    <w:p w14:paraId="0CC9A544">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甲乙双方</w:t>
      </w:r>
      <w:r>
        <w:rPr>
          <w:rFonts w:hint="eastAsia" w:ascii="宋体" w:hAnsi="宋体" w:eastAsia="宋体" w:cs="宋体"/>
          <w:sz w:val="24"/>
          <w:szCs w:val="24"/>
          <w:highlight w:val="none"/>
          <w:lang w:val="en-US" w:eastAsia="zh-CN"/>
        </w:rPr>
        <w:t>应当</w:t>
      </w:r>
      <w:r>
        <w:rPr>
          <w:rFonts w:hint="eastAsia" w:ascii="宋体" w:hAnsi="宋体" w:eastAsia="宋体" w:cs="宋体"/>
          <w:sz w:val="24"/>
          <w:szCs w:val="24"/>
          <w:highlight w:val="none"/>
        </w:rPr>
        <w:t>遵守本合同并执行合同中的各项</w:t>
      </w:r>
      <w:r>
        <w:rPr>
          <w:rFonts w:hint="eastAsia" w:ascii="宋体" w:hAnsi="宋体" w:eastAsia="宋体" w:cs="宋体"/>
          <w:sz w:val="24"/>
          <w:szCs w:val="24"/>
          <w:highlight w:val="none"/>
          <w:lang w:val="en-US" w:eastAsia="zh-CN"/>
        </w:rPr>
        <w:t>约</w:t>
      </w:r>
      <w:r>
        <w:rPr>
          <w:rFonts w:hint="eastAsia" w:ascii="宋体" w:hAnsi="宋体" w:eastAsia="宋体" w:cs="宋体"/>
          <w:sz w:val="24"/>
          <w:szCs w:val="24"/>
          <w:highlight w:val="none"/>
        </w:rPr>
        <w:t>定，保证本合同的正常履行。</w:t>
      </w:r>
    </w:p>
    <w:p w14:paraId="02625918">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（二）</w:t>
      </w:r>
      <w:r>
        <w:rPr>
          <w:rFonts w:hint="eastAsia" w:ascii="宋体" w:hAnsi="宋体" w:eastAsia="宋体" w:cs="宋体"/>
          <w:sz w:val="24"/>
          <w:szCs w:val="24"/>
          <w:highlight w:val="none"/>
        </w:rPr>
        <w:t>如因乙方工作人员在履行</w:t>
      </w:r>
      <w:r>
        <w:rPr>
          <w:rFonts w:hint="eastAsia" w:ascii="宋体" w:hAnsi="宋体" w:eastAsia="宋体" w:cs="宋体"/>
          <w:sz w:val="24"/>
          <w:szCs w:val="24"/>
          <w:highlight w:val="none"/>
          <w:lang w:val="en-US" w:eastAsia="zh-CN"/>
        </w:rPr>
        <w:t>职责</w:t>
      </w:r>
      <w:r>
        <w:rPr>
          <w:rFonts w:hint="eastAsia" w:ascii="宋体" w:hAnsi="宋体" w:eastAsia="宋体" w:cs="宋体"/>
          <w:sz w:val="24"/>
          <w:szCs w:val="24"/>
          <w:highlight w:val="none"/>
        </w:rPr>
        <w:t>过程中的的疏忽、失职、过错等故意或者过失原因给甲方造成损失或侵害，包括但不限于甲方本身的财产损失、由此而导致的甲方对任何第三方的法律责任等，乙方对此均应承担全部的赔偿责任。</w:t>
      </w:r>
    </w:p>
    <w:p w14:paraId="7F03F11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（三）</w:t>
      </w:r>
      <w:r>
        <w:rPr>
          <w:rFonts w:hint="eastAsia" w:ascii="宋体" w:hAnsi="宋体" w:eastAsia="宋体" w:cs="宋体"/>
          <w:sz w:val="24"/>
          <w:szCs w:val="24"/>
          <w:highlight w:val="none"/>
        </w:rPr>
        <w:t>乙方</w:t>
      </w:r>
      <w:r>
        <w:rPr>
          <w:rFonts w:hint="eastAsia" w:ascii="宋体" w:hAnsi="宋体" w:eastAsia="宋体" w:cs="宋体"/>
          <w:sz w:val="24"/>
          <w:szCs w:val="24"/>
          <w:highlight w:val="none"/>
          <w:lang w:val="en-US" w:eastAsia="zh-CN"/>
        </w:rPr>
        <w:t>在履约期间</w:t>
      </w:r>
      <w:r>
        <w:rPr>
          <w:rFonts w:hint="eastAsia" w:ascii="宋体" w:hAnsi="宋体" w:eastAsia="宋体" w:cs="宋体"/>
          <w:sz w:val="24"/>
          <w:szCs w:val="24"/>
          <w:highlight w:val="none"/>
          <w:lang w:eastAsia="zh-CN"/>
        </w:rPr>
        <w:t>的</w:t>
      </w:r>
      <w:r>
        <w:rPr>
          <w:rFonts w:hint="eastAsia" w:ascii="宋体" w:hAnsi="宋体" w:eastAsia="宋体" w:cs="宋体"/>
          <w:sz w:val="24"/>
          <w:szCs w:val="24"/>
          <w:highlight w:val="none"/>
        </w:rPr>
        <w:t>服务质量</w:t>
      </w:r>
      <w:r>
        <w:rPr>
          <w:rFonts w:hint="eastAsia" w:ascii="宋体" w:hAnsi="宋体" w:eastAsia="宋体" w:cs="宋体"/>
          <w:sz w:val="24"/>
          <w:szCs w:val="24"/>
          <w:highlight w:val="none"/>
          <w:lang w:val="en-US" w:eastAsia="zh-CN"/>
        </w:rPr>
        <w:t>标准及</w:t>
      </w:r>
      <w:r>
        <w:rPr>
          <w:rFonts w:hint="eastAsia" w:ascii="宋体" w:hAnsi="宋体" w:eastAsia="宋体" w:cs="宋体"/>
          <w:sz w:val="24"/>
          <w:szCs w:val="24"/>
          <w:highlight w:val="none"/>
        </w:rPr>
        <w:t>要求不能满足合同</w:t>
      </w:r>
      <w:r>
        <w:rPr>
          <w:rFonts w:hint="eastAsia" w:ascii="宋体" w:hAnsi="宋体" w:eastAsia="宋体" w:cs="宋体"/>
          <w:sz w:val="24"/>
          <w:szCs w:val="24"/>
          <w:highlight w:val="none"/>
          <w:lang w:val="en-US" w:eastAsia="zh-CN"/>
        </w:rPr>
        <w:t>约定</w:t>
      </w:r>
      <w:r>
        <w:rPr>
          <w:rFonts w:hint="eastAsia" w:ascii="宋体" w:hAnsi="宋体" w:eastAsia="宋体" w:cs="宋体"/>
          <w:sz w:val="24"/>
          <w:szCs w:val="24"/>
          <w:highlight w:val="none"/>
        </w:rPr>
        <w:t>，甲方应当将乙方违约的情况以及拟采取的措施以书面形式报政府采购监管部门，根据政府采购监管部门的处理意见，甲方有权依据《</w:t>
      </w:r>
      <w:r>
        <w:rPr>
          <w:rFonts w:hint="eastAsia" w:ascii="宋体" w:hAnsi="宋体" w:eastAsia="宋体" w:cs="宋体"/>
          <w:sz w:val="24"/>
          <w:szCs w:val="24"/>
          <w:highlight w:val="none"/>
          <w:lang w:val="en-US" w:eastAsia="zh-CN"/>
        </w:rPr>
        <w:t>中华人民共和国</w:t>
      </w:r>
      <w:r>
        <w:rPr>
          <w:rFonts w:hint="eastAsia" w:ascii="宋体" w:hAnsi="宋体" w:eastAsia="宋体" w:cs="宋体"/>
          <w:sz w:val="24"/>
          <w:szCs w:val="24"/>
          <w:highlight w:val="none"/>
        </w:rPr>
        <w:t>民法典》及合同有关条款终止合同，并要求乙方承担违约责任。</w:t>
      </w:r>
    </w:p>
    <w:p w14:paraId="21F50A8F">
      <w:pPr>
        <w:keepNext w:val="0"/>
        <w:keepLines w:val="0"/>
        <w:pageBreakBefore w:val="0"/>
        <w:kinsoku/>
        <w:overflowPunct/>
        <w:topLinePunct w:val="0"/>
        <w:bidi w:val="0"/>
        <w:snapToGrid w:val="0"/>
        <w:spacing w:line="360" w:lineRule="auto"/>
        <w:textAlignment w:val="auto"/>
        <w:outlineLvl w:val="1"/>
        <w:rPr>
          <w:rFonts w:hint="eastAsia" w:ascii="宋体" w:hAnsi="宋体" w:eastAsia="宋体" w:cs="宋体"/>
          <w:b/>
          <w:sz w:val="24"/>
          <w:szCs w:val="24"/>
          <w:highlight w:val="none"/>
          <w:lang w:val="en-US" w:eastAsia="zh-CN"/>
        </w:rPr>
      </w:pPr>
      <w:bookmarkStart w:id="42" w:name="_Toc15737"/>
      <w:bookmarkStart w:id="43" w:name="_Toc12861"/>
      <w:bookmarkStart w:id="44" w:name="_Toc13719"/>
      <w:bookmarkStart w:id="45" w:name="_Toc9359"/>
      <w:bookmarkStart w:id="46" w:name="_Toc27612"/>
      <w:bookmarkStart w:id="47" w:name="_Toc1527"/>
      <w:r>
        <w:rPr>
          <w:rFonts w:hint="eastAsia" w:ascii="宋体" w:hAnsi="宋体" w:eastAsia="宋体" w:cs="宋体"/>
          <w:b/>
          <w:sz w:val="24"/>
          <w:szCs w:val="24"/>
          <w:highlight w:val="none"/>
          <w:lang w:val="en-US" w:eastAsia="zh-CN"/>
        </w:rPr>
        <w:t>九</w:t>
      </w:r>
      <w:r>
        <w:rPr>
          <w:rFonts w:hint="eastAsia" w:ascii="宋体" w:hAnsi="宋体" w:eastAsia="宋体" w:cs="宋体"/>
          <w:b/>
          <w:sz w:val="24"/>
          <w:szCs w:val="24"/>
          <w:highlight w:val="none"/>
        </w:rPr>
        <w:t>、</w:t>
      </w:r>
      <w:bookmarkEnd w:id="42"/>
      <w:bookmarkEnd w:id="43"/>
      <w:bookmarkEnd w:id="44"/>
      <w:bookmarkEnd w:id="45"/>
      <w:bookmarkEnd w:id="46"/>
      <w:bookmarkEnd w:id="47"/>
      <w:r>
        <w:rPr>
          <w:rFonts w:hint="eastAsia" w:ascii="宋体" w:hAnsi="宋体" w:eastAsia="宋体" w:cs="宋体"/>
          <w:b/>
          <w:sz w:val="24"/>
          <w:szCs w:val="24"/>
          <w:highlight w:val="none"/>
          <w:lang w:val="en-US" w:eastAsia="zh-CN"/>
        </w:rPr>
        <w:t>解决争议的方法</w:t>
      </w:r>
    </w:p>
    <w:p w14:paraId="0D7C37AF">
      <w:pPr>
        <w:keepNext w:val="0"/>
        <w:keepLines w:val="0"/>
        <w:pageBreakBefore w:val="0"/>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在执行本合同中发生的或与本合同有关的</w:t>
      </w:r>
      <w:r>
        <w:rPr>
          <w:rFonts w:hint="eastAsia" w:ascii="宋体" w:hAnsi="宋体" w:eastAsia="宋体" w:cs="宋体"/>
          <w:sz w:val="24"/>
          <w:szCs w:val="24"/>
          <w:highlight w:val="none"/>
          <w:lang w:val="en-US" w:eastAsia="zh-CN"/>
        </w:rPr>
        <w:t>争议</w:t>
      </w:r>
      <w:r>
        <w:rPr>
          <w:rFonts w:hint="eastAsia" w:ascii="宋体" w:hAnsi="宋体" w:eastAsia="宋体" w:cs="宋体"/>
          <w:sz w:val="24"/>
          <w:szCs w:val="24"/>
          <w:highlight w:val="none"/>
        </w:rPr>
        <w:t>，双方应友好协商解决</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协商</w:t>
      </w:r>
      <w:r>
        <w:rPr>
          <w:rFonts w:hint="eastAsia" w:ascii="宋体" w:hAnsi="宋体" w:eastAsia="宋体" w:cs="宋体"/>
          <w:sz w:val="24"/>
          <w:szCs w:val="24"/>
          <w:highlight w:val="none"/>
          <w:lang w:val="en-US" w:eastAsia="zh-CN"/>
        </w:rPr>
        <w:t>不成</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任何一方均可</w:t>
      </w:r>
      <w:r>
        <w:rPr>
          <w:rFonts w:hint="eastAsia" w:ascii="宋体" w:hAnsi="宋体" w:eastAsia="宋体" w:cs="宋体"/>
          <w:sz w:val="24"/>
          <w:szCs w:val="24"/>
          <w:highlight w:val="none"/>
        </w:rPr>
        <w:t>向甲方所在地有管辖权的人民法院提起诉讼</w:t>
      </w:r>
      <w:r>
        <w:rPr>
          <w:rFonts w:hint="eastAsia" w:ascii="宋体" w:hAnsi="宋体" w:eastAsia="宋体" w:cs="宋体"/>
          <w:sz w:val="24"/>
          <w:szCs w:val="24"/>
          <w:highlight w:val="none"/>
          <w:lang w:eastAsia="zh-CN"/>
        </w:rPr>
        <w:t>。</w:t>
      </w:r>
    </w:p>
    <w:p w14:paraId="16493F55">
      <w:pPr>
        <w:pStyle w:val="16"/>
        <w:keepNext w:val="0"/>
        <w:keepLines w:val="0"/>
        <w:pageBreakBefore w:val="0"/>
        <w:numPr>
          <w:ilvl w:val="0"/>
          <w:numId w:val="0"/>
        </w:numPr>
        <w:kinsoku/>
        <w:overflowPunct/>
        <w:topLinePunct w:val="0"/>
        <w:bidi w:val="0"/>
        <w:spacing w:after="0" w:line="360" w:lineRule="auto"/>
        <w:ind w:left="0" w:leftChars="0" w:firstLine="0" w:firstLineChars="0"/>
        <w:textAlignment w:val="auto"/>
        <w:outlineLvl w:val="1"/>
        <w:rPr>
          <w:rFonts w:hint="eastAsia" w:ascii="宋体" w:hAnsi="宋体" w:eastAsia="宋体" w:cs="宋体"/>
          <w:b/>
          <w:kern w:val="2"/>
          <w:sz w:val="24"/>
          <w:szCs w:val="24"/>
          <w:highlight w:val="none"/>
          <w:lang w:val="en-US" w:eastAsia="zh-CN" w:bidi="ar-SA"/>
        </w:rPr>
      </w:pPr>
      <w:bookmarkStart w:id="48" w:name="_Toc20262"/>
      <w:bookmarkStart w:id="49" w:name="_Toc29810"/>
      <w:bookmarkStart w:id="50" w:name="_Toc22876"/>
      <w:bookmarkStart w:id="51" w:name="_Toc23271"/>
      <w:bookmarkStart w:id="52" w:name="_Toc906"/>
      <w:bookmarkStart w:id="53" w:name="_Toc31233"/>
      <w:r>
        <w:rPr>
          <w:rFonts w:hint="eastAsia" w:ascii="宋体" w:hAnsi="宋体" w:eastAsia="宋体" w:cs="宋体"/>
          <w:b/>
          <w:color w:val="auto"/>
          <w:kern w:val="2"/>
          <w:sz w:val="24"/>
          <w:szCs w:val="24"/>
          <w:highlight w:val="none"/>
          <w:lang w:val="en-US" w:eastAsia="zh-CN" w:bidi="ar-SA"/>
        </w:rPr>
        <w:t>十、</w:t>
      </w:r>
      <w:r>
        <w:rPr>
          <w:rFonts w:hint="eastAsia" w:ascii="宋体" w:hAnsi="宋体" w:eastAsia="宋体" w:cs="宋体"/>
          <w:b/>
          <w:kern w:val="2"/>
          <w:sz w:val="24"/>
          <w:szCs w:val="24"/>
          <w:highlight w:val="none"/>
          <w:lang w:val="en-US" w:eastAsia="zh-CN" w:bidi="ar-SA"/>
        </w:rPr>
        <w:t>其他事项</w:t>
      </w:r>
      <w:bookmarkEnd w:id="48"/>
      <w:bookmarkEnd w:id="49"/>
      <w:bookmarkEnd w:id="50"/>
      <w:bookmarkEnd w:id="51"/>
      <w:bookmarkEnd w:id="52"/>
      <w:bookmarkEnd w:id="53"/>
    </w:p>
    <w:p w14:paraId="61688953">
      <w:pPr>
        <w:keepNext w:val="0"/>
        <w:keepLines w:val="0"/>
        <w:pageBreakBefore w:val="0"/>
        <w:kinsoku/>
        <w:overflowPunct/>
        <w:topLinePunct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一）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01971E7">
      <w:pPr>
        <w:keepNext w:val="0"/>
        <w:keepLines w:val="0"/>
        <w:pageBreakBefore w:val="0"/>
        <w:kinsoku/>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（二）本合同所有附件、</w:t>
      </w:r>
      <w:r>
        <w:rPr>
          <w:rFonts w:hint="eastAsia" w:ascii="宋体" w:hAnsi="宋体" w:eastAsia="宋体" w:cs="宋体"/>
          <w:sz w:val="24"/>
          <w:szCs w:val="24"/>
          <w:highlight w:val="none"/>
          <w:lang w:val="en-US" w:eastAsia="zh-CN"/>
        </w:rPr>
        <w:t>采购</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通知书均为本合同的有效组成部分，与本合同具有同等法律效力。</w:t>
      </w:r>
    </w:p>
    <w:p w14:paraId="7C2249E5">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                                       </w:t>
      </w:r>
      <w:r>
        <w:rPr>
          <w:rFonts w:hint="eastAsia" w:ascii="宋体" w:hAnsi="宋体" w:eastAsia="宋体" w:cs="宋体"/>
          <w:kern w:val="2"/>
          <w:sz w:val="24"/>
          <w:szCs w:val="24"/>
          <w:highlight w:val="none"/>
          <w:lang w:val="en-US" w:eastAsia="zh-CN" w:bidi="ar-SA"/>
        </w:rPr>
        <w:t xml:space="preserve">  </w:t>
      </w:r>
      <w:bookmarkStart w:id="54" w:name="_Toc23239"/>
      <w:bookmarkStart w:id="55" w:name="_Toc12136"/>
      <w:bookmarkStart w:id="56" w:name="_Toc11723"/>
      <w:bookmarkStart w:id="57" w:name="_Toc12900"/>
      <w:bookmarkStart w:id="58" w:name="_Toc6722"/>
      <w:bookmarkStart w:id="59" w:name="_Toc21375"/>
    </w:p>
    <w:p w14:paraId="1450E2EC">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十</w:t>
      </w: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rPr>
        <w:t>、合同生效</w:t>
      </w:r>
      <w:bookmarkEnd w:id="54"/>
      <w:bookmarkEnd w:id="55"/>
      <w:bookmarkEnd w:id="56"/>
      <w:bookmarkEnd w:id="57"/>
      <w:bookmarkEnd w:id="58"/>
      <w:bookmarkEnd w:id="59"/>
    </w:p>
    <w:p w14:paraId="7BFB2959">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（一）</w:t>
      </w:r>
      <w:r>
        <w:rPr>
          <w:rFonts w:hint="eastAsia" w:ascii="宋体" w:hAnsi="宋体" w:eastAsia="宋体" w:cs="宋体"/>
          <w:sz w:val="24"/>
          <w:szCs w:val="24"/>
          <w:highlight w:val="none"/>
        </w:rPr>
        <w:t>本合同经甲、乙双方签字盖章后生效。</w:t>
      </w:r>
    </w:p>
    <w:p w14:paraId="662B7169">
      <w:pPr>
        <w:keepNext w:val="0"/>
        <w:keepLines w:val="0"/>
        <w:pageBreakBefore w:val="0"/>
        <w:kinsoku/>
        <w:overflowPunct/>
        <w:topLinePunct w:val="0"/>
        <w:autoSpaceDE w:val="0"/>
        <w:autoSpaceDN w:val="0"/>
        <w:bidi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份，甲乙双方各执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p>
    <w:p w14:paraId="53BCD5D7">
      <w:pPr>
        <w:keepNext w:val="0"/>
        <w:keepLines w:val="0"/>
        <w:pageBreakBefore w:val="0"/>
        <w:widowControl/>
        <w:kinsoku/>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（三）本合同如有未尽事宜，甲、乙双方协商解决。</w:t>
      </w:r>
    </w:p>
    <w:p w14:paraId="0A67CC0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7E02F43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3670669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57287E79">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甲方：（加盖公章或合同专用章）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乙方：（加盖公章或合同专用章）</w:t>
      </w:r>
    </w:p>
    <w:p w14:paraId="4BD40ED9">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w:t>
      </w:r>
      <w:r>
        <w:rPr>
          <w:rFonts w:hint="eastAsia" w:ascii="宋体" w:hAnsi="宋体" w:eastAsia="宋体" w:cs="宋体"/>
          <w:sz w:val="24"/>
          <w:szCs w:val="24"/>
          <w:highlight w:val="none"/>
          <w:lang w:val="en-US" w:eastAsia="zh-CN"/>
        </w:rPr>
        <w:t>被授权人</w:t>
      </w:r>
      <w:r>
        <w:rPr>
          <w:rFonts w:hint="eastAsia" w:ascii="宋体" w:hAnsi="宋体" w:eastAsia="宋体" w:cs="宋体"/>
          <w:sz w:val="24"/>
          <w:szCs w:val="24"/>
          <w:highlight w:val="none"/>
        </w:rPr>
        <w:t xml:space="preserve">签字： </w:t>
      </w:r>
    </w:p>
    <w:p w14:paraId="7A979DC0">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地 址： </w:t>
      </w:r>
    </w:p>
    <w:p w14:paraId="5F04788C">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电 话： </w:t>
      </w:r>
    </w:p>
    <w:p w14:paraId="58EC7FE4">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联系人：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联系人： </w:t>
      </w:r>
    </w:p>
    <w:p w14:paraId="21B7572E">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开户银行： </w:t>
      </w:r>
    </w:p>
    <w:p w14:paraId="0DD835C2">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账户名称：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账户名称：</w:t>
      </w:r>
    </w:p>
    <w:p w14:paraId="23026AC7">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 号：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p>
    <w:p w14:paraId="6E45DCD5">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签定日期：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签定日期</w:t>
      </w:r>
    </w:p>
    <w:p w14:paraId="0511FBE4">
      <w:pPr>
        <w:widowControl/>
        <w:spacing w:line="360" w:lineRule="auto"/>
        <w:ind w:firstLine="420" w:firstLineChars="200"/>
        <w:jc w:val="left"/>
        <w:rPr>
          <w:rFonts w:hAnsi="宋体"/>
          <w:szCs w:val="24"/>
        </w:rPr>
      </w:pPr>
    </w:p>
    <w:p w14:paraId="0C552AA0">
      <w:pPr>
        <w:rPr>
          <w:rFonts w:hint="eastAsia"/>
          <w:lang w:val="en-US" w:eastAsia="zh-Hans"/>
        </w:rPr>
      </w:pPr>
      <w:bookmarkStart w:id="60" w:name="_GoBack"/>
      <w:bookmarkEnd w:id="6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embedRegular r:id="rId1" w:fontKey="{3134BD77-B9E2-41BD-A3B3-3FB14FD79919}"/>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8"/>
      <w:spacing w:line="14" w:lineRule="auto"/>
      <w:rPr>
        <w:sz w:val="2"/>
      </w:rPr>
    </w:pPr>
  </w:p>
  <w:p w14:paraId="19A9A15C">
    <w:pPr>
      <w:pStyle w:val="8"/>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abstractNum w:abstractNumId="1">
    <w:nsid w:val="64CA4D58"/>
    <w:multiLevelType w:val="singleLevel"/>
    <w:tmpl w:val="64CA4D58"/>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A7647D"/>
    <w:rsid w:val="01CB4F31"/>
    <w:rsid w:val="021A1C5B"/>
    <w:rsid w:val="0690304D"/>
    <w:rsid w:val="0A262787"/>
    <w:rsid w:val="0BF056CB"/>
    <w:rsid w:val="0C180165"/>
    <w:rsid w:val="0FC92FCD"/>
    <w:rsid w:val="107F0308"/>
    <w:rsid w:val="114D6EC8"/>
    <w:rsid w:val="11D30BC8"/>
    <w:rsid w:val="11D64039"/>
    <w:rsid w:val="12254D6B"/>
    <w:rsid w:val="1240469E"/>
    <w:rsid w:val="14221DF8"/>
    <w:rsid w:val="16A84539"/>
    <w:rsid w:val="177F50ED"/>
    <w:rsid w:val="17EE2E86"/>
    <w:rsid w:val="1A443A2F"/>
    <w:rsid w:val="1BC41C3A"/>
    <w:rsid w:val="1CDE6972"/>
    <w:rsid w:val="1D3B4626"/>
    <w:rsid w:val="1E341299"/>
    <w:rsid w:val="1F091319"/>
    <w:rsid w:val="21807129"/>
    <w:rsid w:val="232E0476"/>
    <w:rsid w:val="23FC7B0B"/>
    <w:rsid w:val="24CA7C09"/>
    <w:rsid w:val="25C647C0"/>
    <w:rsid w:val="27993F75"/>
    <w:rsid w:val="27E726AF"/>
    <w:rsid w:val="28B10C06"/>
    <w:rsid w:val="29D33FFF"/>
    <w:rsid w:val="2B45623B"/>
    <w:rsid w:val="2B6C64D8"/>
    <w:rsid w:val="2C3B3C5A"/>
    <w:rsid w:val="2D8017AD"/>
    <w:rsid w:val="31C37EBA"/>
    <w:rsid w:val="32586E94"/>
    <w:rsid w:val="32AA5D1B"/>
    <w:rsid w:val="33460DA3"/>
    <w:rsid w:val="36574F1A"/>
    <w:rsid w:val="37564E69"/>
    <w:rsid w:val="37BC458D"/>
    <w:rsid w:val="387C4139"/>
    <w:rsid w:val="39B337F4"/>
    <w:rsid w:val="3A80103E"/>
    <w:rsid w:val="3C8D2095"/>
    <w:rsid w:val="3D4D41A8"/>
    <w:rsid w:val="3F9643C0"/>
    <w:rsid w:val="41511AAA"/>
    <w:rsid w:val="41F85955"/>
    <w:rsid w:val="421631FC"/>
    <w:rsid w:val="424264A7"/>
    <w:rsid w:val="430D5439"/>
    <w:rsid w:val="44444E8A"/>
    <w:rsid w:val="459C2D5D"/>
    <w:rsid w:val="48084AAB"/>
    <w:rsid w:val="4A4A0D21"/>
    <w:rsid w:val="4A9E2E1A"/>
    <w:rsid w:val="4B60410D"/>
    <w:rsid w:val="4B944949"/>
    <w:rsid w:val="4B9E14E9"/>
    <w:rsid w:val="4C390B10"/>
    <w:rsid w:val="4D7F41D4"/>
    <w:rsid w:val="4E2E0CE9"/>
    <w:rsid w:val="4F2C7F79"/>
    <w:rsid w:val="4F4812E1"/>
    <w:rsid w:val="4FCB3ED2"/>
    <w:rsid w:val="51024CD3"/>
    <w:rsid w:val="510718D5"/>
    <w:rsid w:val="51D62E87"/>
    <w:rsid w:val="523A372E"/>
    <w:rsid w:val="53B52B8D"/>
    <w:rsid w:val="53BE4378"/>
    <w:rsid w:val="56791DF4"/>
    <w:rsid w:val="582C5F09"/>
    <w:rsid w:val="58AC617B"/>
    <w:rsid w:val="59F842F5"/>
    <w:rsid w:val="5B1F01DA"/>
    <w:rsid w:val="5C4F05F8"/>
    <w:rsid w:val="5CDD4BC0"/>
    <w:rsid w:val="5DF85E0B"/>
    <w:rsid w:val="5F140445"/>
    <w:rsid w:val="5FEA7EEA"/>
    <w:rsid w:val="60C3302B"/>
    <w:rsid w:val="63EB4D1E"/>
    <w:rsid w:val="664A412A"/>
    <w:rsid w:val="66A114F4"/>
    <w:rsid w:val="66CD1FFC"/>
    <w:rsid w:val="67B37AAD"/>
    <w:rsid w:val="682A3C5C"/>
    <w:rsid w:val="6AEF0B65"/>
    <w:rsid w:val="6B142359"/>
    <w:rsid w:val="6C720607"/>
    <w:rsid w:val="709A540C"/>
    <w:rsid w:val="722902E1"/>
    <w:rsid w:val="729C78CF"/>
    <w:rsid w:val="740818EF"/>
    <w:rsid w:val="74CE3248"/>
    <w:rsid w:val="75747DD6"/>
    <w:rsid w:val="75BA66E6"/>
    <w:rsid w:val="777C3E74"/>
    <w:rsid w:val="77F79321"/>
    <w:rsid w:val="78B33624"/>
    <w:rsid w:val="78D42587"/>
    <w:rsid w:val="7D6D2C0C"/>
    <w:rsid w:val="7DBB459D"/>
    <w:rsid w:val="7EA168AA"/>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firstLineChars="200"/>
    </w:pPr>
  </w:style>
  <w:style w:type="paragraph" w:styleId="5">
    <w:name w:val="Body Text First Indent 2"/>
    <w:basedOn w:val="6"/>
    <w:next w:val="4"/>
    <w:qFormat/>
    <w:uiPriority w:val="99"/>
    <w:pPr>
      <w:spacing w:after="120"/>
      <w:ind w:left="420" w:leftChars="200" w:firstLine="420" w:firstLineChars="200"/>
    </w:pPr>
    <w:rPr>
      <w:sz w:val="21"/>
      <w:szCs w:val="20"/>
      <w:lang w:val="en-US" w:eastAsia="zh-CN"/>
    </w:rPr>
  </w:style>
  <w:style w:type="paragraph" w:styleId="6">
    <w:name w:val="Body Text Indent"/>
    <w:basedOn w:val="1"/>
    <w:qFormat/>
    <w:uiPriority w:val="99"/>
    <w:pPr>
      <w:spacing w:line="360" w:lineRule="auto"/>
      <w:ind w:firstLine="480"/>
    </w:pPr>
    <w:rPr>
      <w:rFonts w:ascii="宋体"/>
      <w:sz w:val="24"/>
    </w:rPr>
  </w:style>
  <w:style w:type="paragraph" w:styleId="7">
    <w:name w:val="annotation text"/>
    <w:basedOn w:val="1"/>
    <w:qFormat/>
    <w:uiPriority w:val="0"/>
    <w:pPr>
      <w:jc w:val="left"/>
    </w:pPr>
  </w:style>
  <w:style w:type="paragraph" w:styleId="8">
    <w:name w:val="Body Text"/>
    <w:basedOn w:val="1"/>
    <w:next w:val="1"/>
    <w:unhideWhenUsed/>
    <w:qFormat/>
    <w:uiPriority w:val="0"/>
    <w:pPr>
      <w:spacing w:after="120"/>
    </w:pPr>
    <w:rPr>
      <w:rFonts w:ascii="Calibri" w:hAnsi="Calibri"/>
      <w:szCs w:val="22"/>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Balloon Text"/>
    <w:basedOn w:val="1"/>
    <w:qFormat/>
    <w:uiPriority w:val="0"/>
    <w:rPr>
      <w:rFonts w:ascii="Times New Roman" w:hAnsi="Times New Roman" w:eastAsia="宋体"/>
      <w:sz w:val="18"/>
      <w:szCs w:val="18"/>
    </w:rPr>
  </w:style>
  <w:style w:type="paragraph" w:styleId="12">
    <w:name w:val="footer"/>
    <w:basedOn w:val="1"/>
    <w:next w:val="8"/>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600" w:lineRule="auto"/>
    </w:pPr>
  </w:style>
  <w:style w:type="paragraph" w:styleId="15">
    <w:name w:val="Body Text 2"/>
    <w:basedOn w:val="1"/>
    <w:qFormat/>
    <w:uiPriority w:val="0"/>
    <w:rPr>
      <w:rFonts w:eastAsia="宋体"/>
      <w:kern w:val="2"/>
      <w:sz w:val="30"/>
      <w:lang w:val="en-US" w:eastAsia="zh-CN"/>
    </w:rPr>
  </w:style>
  <w:style w:type="paragraph" w:styleId="16">
    <w:name w:val="Body Text First Indent"/>
    <w:basedOn w:val="8"/>
    <w:qFormat/>
    <w:uiPriority w:val="0"/>
    <w:pPr>
      <w:ind w:firstLine="420" w:firstLineChars="100"/>
    </w:p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2">
    <w:name w:val="Char1"/>
    <w:basedOn w:val="1"/>
    <w:qFormat/>
    <w:uiPriority w:val="0"/>
    <w:rPr>
      <w:szCs w:val="21"/>
    </w:rPr>
  </w:style>
  <w:style w:type="paragraph" w:styleId="23">
    <w:name w:val="List Paragraph"/>
    <w:basedOn w:val="1"/>
    <w:qFormat/>
    <w:uiPriority w:val="99"/>
    <w:pPr>
      <w:ind w:firstLine="420" w:firstLineChars="200"/>
    </w:pPr>
  </w:style>
  <w:style w:type="paragraph" w:customStyle="1" w:styleId="24">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4</Pages>
  <Words>5101</Words>
  <Characters>5357</Characters>
  <Lines>0</Lines>
  <Paragraphs>0</Paragraphs>
  <TotalTime>2</TotalTime>
  <ScaleCrop>false</ScaleCrop>
  <LinksUpToDate>false</LinksUpToDate>
  <CharactersWithSpaces>6747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2026-04-24T08:14:55Z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