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版本号：SXHT2026-ZC-CS100620260424001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公共场所物业管理项目（餐饮服务）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SXHT2026-ZC-CS1006</w:t>
      </w:r>
      <w:r>
        <w:br/>
      </w:r>
      <w:r>
        <w:br/>
      </w:r>
      <w:r>
        <w:br/>
      </w:r>
    </w:p>
    <w:p>
      <w:pPr>
        <w:pStyle w:val="null3"/>
        <w:jc w:val="center"/>
        <w:outlineLvl w:val="2"/>
      </w:pPr>
      <w:r>
        <w:rPr>
          <w:rFonts w:ascii="仿宋_GB2312" w:hAnsi="仿宋_GB2312" w:cs="仿宋_GB2312" w:eastAsia="仿宋_GB2312"/>
          <w:sz w:val="28"/>
          <w:b/>
        </w:rPr>
        <w:t>西安市黑河水源地环境保护管理总站</w:t>
      </w:r>
    </w:p>
    <w:p>
      <w:pPr>
        <w:pStyle w:val="null3"/>
        <w:jc w:val="center"/>
        <w:outlineLvl w:val="2"/>
      </w:pPr>
      <w:r>
        <w:rPr>
          <w:rFonts w:ascii="仿宋_GB2312" w:hAnsi="仿宋_GB2312" w:cs="仿宋_GB2312" w:eastAsia="仿宋_GB2312"/>
          <w:sz w:val="28"/>
          <w:b/>
        </w:rPr>
        <w:t>陕西蒿天项目管理有限公司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陕西蒿天项目管理有限公司</w:t>
      </w:r>
      <w:r>
        <w:rPr>
          <w:rFonts w:ascii="仿宋_GB2312" w:hAnsi="仿宋_GB2312" w:cs="仿宋_GB2312" w:eastAsia="仿宋_GB2312"/>
        </w:rPr>
        <w:t>（以下简称“代理机构”）受</w:t>
      </w:r>
      <w:r>
        <w:rPr>
          <w:rFonts w:ascii="仿宋_GB2312" w:hAnsi="仿宋_GB2312" w:cs="仿宋_GB2312" w:eastAsia="仿宋_GB2312"/>
        </w:rPr>
        <w:t>西安市黑河水源地环境保护管理总站</w:t>
      </w:r>
      <w:r>
        <w:rPr>
          <w:rFonts w:ascii="仿宋_GB2312" w:hAnsi="仿宋_GB2312" w:cs="仿宋_GB2312" w:eastAsia="仿宋_GB2312"/>
        </w:rPr>
        <w:t>委托，拟对</w:t>
      </w:r>
      <w:r>
        <w:rPr>
          <w:rFonts w:ascii="仿宋_GB2312" w:hAnsi="仿宋_GB2312" w:cs="仿宋_GB2312" w:eastAsia="仿宋_GB2312"/>
        </w:rPr>
        <w:t>公共场所物业管理项目（餐饮服务）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SXHT2026-ZC-CS1006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公共场所物业管理项目（餐饮服务）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黑河水源地环境保护管理总站位于西安市周至县马召镇武家庄村金盆水库大坝交通桥西，下属有两个分站。现将总站及两个分站的餐饮工作委托管理。采购人提供加工场所及相应的设施设备和水、电、气等资源。由成交供应商委派专业厨房工作人员及食堂管理人员提供服务。供应商委派的人员食宿由采购人提供。</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采购包1（公共场所物业管理项目（餐饮服务））：属于专门面向中小企业采购。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法定代表人身份证明：法定代表人授权书（附法定代表人、被授权人身份证复印件及被授权人开标前三个月内任意一个月在本单位的社保缴纳证明），法定代表人直接参加磋商，须提供法定代表人身份证明；</w:t>
      </w:r>
    </w:p>
    <w:p>
      <w:pPr>
        <w:pStyle w:val="null3"/>
      </w:pPr>
      <w:r>
        <w:rPr>
          <w:rFonts w:ascii="仿宋_GB2312" w:hAnsi="仿宋_GB2312" w:cs="仿宋_GB2312" w:eastAsia="仿宋_GB2312"/>
        </w:rPr>
        <w:t>2、经营许可：供应商须提供合法有效的食品经营许可证；</w:t>
      </w:r>
    </w:p>
    <w:p>
      <w:pPr>
        <w:pStyle w:val="null3"/>
      </w:pPr>
      <w:r>
        <w:rPr>
          <w:rFonts w:ascii="仿宋_GB2312" w:hAnsi="仿宋_GB2312" w:cs="仿宋_GB2312" w:eastAsia="仿宋_GB2312"/>
        </w:rPr>
        <w:t>3、信用记录：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p>
      <w:pPr>
        <w:pStyle w:val="null3"/>
      </w:pPr>
      <w:r>
        <w:rPr>
          <w:rFonts w:ascii="仿宋_GB2312" w:hAnsi="仿宋_GB2312" w:cs="仿宋_GB2312" w:eastAsia="仿宋_GB2312"/>
        </w:rPr>
        <w:t>4、联合体：本项目不接受联合体磋商；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西安市黑河水源地环境保护管理总站</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西安市周至县马召镇武家庄村金盆水库大坝交通桥西</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029-85108510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陕西蒿天项目管理有限公司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西安市雁塔区含光路南段1号鹏豪苑1幢3单元1202室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尚顺谱、林锡之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029-81612268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采购包1：268,700.00元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代理服务费收费标准：1.固定金额：人民币陆仟元整（6000.00元）。2.支付方式：成交供应商应在领取通知书的同时，支付本项目代理服务费。 收款单位：陕西蒿天项目管理有限公司 开户行：中国建设银行股份有限公司西安锦园新世纪支行 账号：61050175390000000337</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西安市黑河水源地环境保护管理总站</w:t>
      </w:r>
      <w:r>
        <w:rPr>
          <w:rFonts w:ascii="仿宋_GB2312" w:hAnsi="仿宋_GB2312" w:cs="仿宋_GB2312" w:eastAsia="仿宋_GB2312"/>
        </w:rPr>
        <w:t>和</w:t>
      </w:r>
      <w:r>
        <w:rPr>
          <w:rFonts w:ascii="仿宋_GB2312" w:hAnsi="仿宋_GB2312" w:cs="仿宋_GB2312" w:eastAsia="仿宋_GB2312"/>
        </w:rPr>
        <w:t>陕西蒿天项目管理有限公司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西安市黑河水源地环境保护管理总站</w:t>
      </w:r>
      <w:r>
        <w:rPr>
          <w:rFonts w:ascii="仿宋_GB2312" w:hAnsi="仿宋_GB2312" w:cs="仿宋_GB2312" w:eastAsia="仿宋_GB2312"/>
        </w:rPr>
        <w:t>负责解释。除上述磋商文件内容，其他内容由</w:t>
      </w:r>
      <w:r>
        <w:rPr>
          <w:rFonts w:ascii="仿宋_GB2312" w:hAnsi="仿宋_GB2312" w:cs="仿宋_GB2312" w:eastAsia="仿宋_GB2312"/>
        </w:rPr>
        <w:t>陕西蒿天项目管理有限公司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西安市黑河水源地环境保护管理总站</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陕西蒿天项目管理有限公司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符合国家、行业相关法律法规及采购人需求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陕西蒿天项目管理有限公司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联系人：尚顺谱、林锡之</w:t>
      </w:r>
    </w:p>
    <w:p>
      <w:pPr>
        <w:pStyle w:val="null3"/>
      </w:pPr>
      <w:r>
        <w:rPr>
          <w:rFonts w:ascii="仿宋_GB2312" w:hAnsi="仿宋_GB2312" w:cs="仿宋_GB2312" w:eastAsia="仿宋_GB2312"/>
        </w:rPr>
        <w:t>联系电话：029-81612268</w:t>
      </w:r>
    </w:p>
    <w:p>
      <w:pPr>
        <w:pStyle w:val="null3"/>
      </w:pPr>
      <w:r>
        <w:rPr>
          <w:rFonts w:ascii="仿宋_GB2312" w:hAnsi="仿宋_GB2312" w:cs="仿宋_GB2312" w:eastAsia="仿宋_GB2312"/>
        </w:rPr>
        <w:t>地址：西安市雁塔区含光路南段1号鹏豪苑1幢3单元1202室</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黑河水源地环境保护管理总站位于西安市周至县马召镇武家庄村金盆水库大坝交通桥西，下属有两个分站。现将总站及两个分站的餐饮工作委托管理。采购人提供加工场所及相应的设施设备和水、电、气等资源。由成交供应商委派专业厨房工作人员及食堂管理人员提供服务。供应商委派的人员食宿由采购人提供。</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268,700.00</w:t>
      </w:r>
    </w:p>
    <w:p>
      <w:pPr>
        <w:pStyle w:val="null3"/>
      </w:pPr>
      <w:r>
        <w:rPr>
          <w:rFonts w:ascii="仿宋_GB2312" w:hAnsi="仿宋_GB2312" w:cs="仿宋_GB2312" w:eastAsia="仿宋_GB2312"/>
        </w:rPr>
        <w:t>采购包最高限价（元）: 268,700.00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公共场所物业管理项目（餐饮服务）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268,700.00</w:t>
            </w:r>
          </w:p>
        </w:tc>
        <w:tc>
          <w:tcPr>
            <w:tcW w:type="dxa" w:w="831"/>
          </w:tcPr>
          <w:p>
            <w:pPr>
              <w:pStyle w:val="null3"/>
            </w:pPr>
            <w:r>
              <w:rPr>
                <w:rFonts w:ascii="仿宋_GB2312" w:hAnsi="仿宋_GB2312" w:cs="仿宋_GB2312" w:eastAsia="仿宋_GB2312"/>
              </w:rPr>
              <w:t>年</w:t>
            </w:r>
          </w:p>
        </w:tc>
        <w:tc>
          <w:tcPr>
            <w:tcW w:type="dxa" w:w="831"/>
          </w:tcPr>
          <w:p>
            <w:pPr>
              <w:pStyle w:val="null3"/>
            </w:pPr>
            <w:r>
              <w:rPr>
                <w:rFonts w:ascii="仿宋_GB2312" w:hAnsi="仿宋_GB2312" w:cs="仿宋_GB2312" w:eastAsia="仿宋_GB2312"/>
              </w:rPr>
              <w:t>餐饮业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标的名称：公共场所物业管理项目（餐饮服务）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一、项目概况</w:t>
            </w:r>
          </w:p>
          <w:p>
            <w:pPr>
              <w:pStyle w:val="null3"/>
            </w:pPr>
            <w:r>
              <w:rPr>
                <w:rFonts w:ascii="仿宋_GB2312" w:hAnsi="仿宋_GB2312" w:cs="仿宋_GB2312" w:eastAsia="仿宋_GB2312"/>
              </w:rPr>
              <w:t>西安市黑河水源地环境保护管理总站位于西安市周至县马召镇武家庄村金盆水库大坝交通桥西，下属有两个分站。现将总站及两个分站的餐饮工作委托管理。采购人提供加工场所及相应的设施设备和水、电、气等资源。由成交供应商委派专业厨房工作人员及食堂管理人员提供服务。供应商委派的人员食宿由采购人提供。</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rPr>
              <w:t>二、服务内容</w:t>
            </w:r>
          </w:p>
          <w:p>
            <w:pPr>
              <w:pStyle w:val="null3"/>
            </w:pPr>
            <w:r>
              <w:rPr>
                <w:rFonts w:ascii="仿宋_GB2312" w:hAnsi="仿宋_GB2312" w:cs="仿宋_GB2312" w:eastAsia="仿宋_GB2312"/>
              </w:rPr>
              <w:t>制作西安市黑河水源地环境保护管理总站及其下属两个分站的员工餐。</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rPr>
              <w:t>三、服务要求</w:t>
            </w:r>
          </w:p>
          <w:p>
            <w:pPr>
              <w:pStyle w:val="null3"/>
            </w:pPr>
            <w:r>
              <w:rPr>
                <w:rFonts w:ascii="仿宋_GB2312" w:hAnsi="仿宋_GB2312" w:cs="仿宋_GB2312" w:eastAsia="仿宋_GB2312"/>
              </w:rPr>
              <w:t>（一）人员配置</w:t>
            </w:r>
          </w:p>
          <w:p>
            <w:pPr>
              <w:pStyle w:val="null3"/>
            </w:pPr>
            <w:r>
              <w:rPr>
                <w:rFonts w:ascii="仿宋_GB2312" w:hAnsi="仿宋_GB2312" w:cs="仿宋_GB2312" w:eastAsia="仿宋_GB2312"/>
              </w:rPr>
              <w:t>西安市黑河水源地环境保护管理总站：炒菜大工1人、面案大工1人；分站1：厨师1人；分站2：厨师1人。以上人员须持在有效期内的健康证。</w:t>
            </w:r>
          </w:p>
          <w:p>
            <w:pPr>
              <w:pStyle w:val="null3"/>
            </w:pPr>
            <w:r>
              <w:rPr>
                <w:rFonts w:ascii="仿宋_GB2312" w:hAnsi="仿宋_GB2312" w:cs="仿宋_GB2312" w:eastAsia="仿宋_GB2312"/>
              </w:rPr>
              <w:t>（二）服务要求</w:t>
            </w:r>
          </w:p>
          <w:p>
            <w:pPr>
              <w:pStyle w:val="null3"/>
            </w:pPr>
            <w:r>
              <w:rPr>
                <w:rFonts w:ascii="仿宋_GB2312" w:hAnsi="仿宋_GB2312" w:cs="仿宋_GB2312" w:eastAsia="仿宋_GB2312"/>
              </w:rPr>
              <w:t>1.①早餐供应：不少于四个小菜（春、夏、秋季凉热搭配，冬季热菜为主），两种稀饭，两种主食；</w:t>
            </w:r>
          </w:p>
          <w:p>
            <w:pPr>
              <w:pStyle w:val="null3"/>
            </w:pPr>
            <w:r>
              <w:rPr>
                <w:rFonts w:ascii="仿宋_GB2312" w:hAnsi="仿宋_GB2312" w:cs="仿宋_GB2312" w:eastAsia="仿宋_GB2312"/>
              </w:rPr>
              <w:t xml:space="preserve">  ②午餐供应：不少于四菜一汤（时令蔬菜两荤两素），米面主食不少于2种，水果不少于2种；</w:t>
            </w:r>
          </w:p>
          <w:p>
            <w:pPr>
              <w:pStyle w:val="null3"/>
            </w:pPr>
            <w:r>
              <w:rPr>
                <w:rFonts w:ascii="仿宋_GB2312" w:hAnsi="仿宋_GB2312" w:cs="仿宋_GB2312" w:eastAsia="仿宋_GB2312"/>
              </w:rPr>
              <w:t xml:space="preserve">  ③晚餐供应：不少于两菜一汤（时令蔬菜一荤一素），米面主食不少于2种，水果不少于2种。</w:t>
            </w:r>
          </w:p>
          <w:p>
            <w:pPr>
              <w:pStyle w:val="null3"/>
            </w:pPr>
            <w:r>
              <w:rPr>
                <w:rFonts w:ascii="仿宋_GB2312" w:hAnsi="仿宋_GB2312" w:cs="仿宋_GB2312" w:eastAsia="仿宋_GB2312"/>
              </w:rPr>
              <w:t>2.原材料验收：派专人负责对供应的肉类、蔬菜和干杂等原材料进行验收。</w:t>
            </w:r>
          </w:p>
          <w:p>
            <w:pPr>
              <w:pStyle w:val="null3"/>
            </w:pPr>
            <w:r>
              <w:rPr>
                <w:rFonts w:ascii="仿宋_GB2312" w:hAnsi="仿宋_GB2312" w:cs="仿宋_GB2312" w:eastAsia="仿宋_GB2312"/>
              </w:rPr>
              <w:t>3.加工： 根据采购人要求进行加工、供应工作。</w:t>
            </w:r>
          </w:p>
          <w:p>
            <w:pPr>
              <w:pStyle w:val="null3"/>
            </w:pPr>
            <w:r>
              <w:rPr>
                <w:rFonts w:ascii="仿宋_GB2312" w:hAnsi="仿宋_GB2312" w:cs="仿宋_GB2312" w:eastAsia="仿宋_GB2312"/>
              </w:rPr>
              <w:t>4.食堂卫生：保证在职职工就餐区、伙食食材加工区、食材集散区、供应商服务人员活动区的清洁度，保证就餐区、加工区域内的清洁度和舒适度，按计划落实卫生要求。</w:t>
            </w:r>
          </w:p>
          <w:p>
            <w:pPr>
              <w:pStyle w:val="null3"/>
            </w:pPr>
            <w:r>
              <w:rPr>
                <w:rFonts w:ascii="仿宋_GB2312" w:hAnsi="仿宋_GB2312" w:cs="仿宋_GB2312" w:eastAsia="仿宋_GB2312"/>
              </w:rPr>
              <w:t>5.食堂管理及日常供应：对伙食供应的日常生产、人员做好管理工作；负责食品质量、消防卫生等安全工作；制定相应的管理流程及应急预案；配合采购人进行物资管理，并做好日常统计等工作。</w:t>
            </w:r>
          </w:p>
          <w:p>
            <w:pPr>
              <w:pStyle w:val="null3"/>
            </w:pPr>
            <w:r>
              <w:rPr>
                <w:rFonts w:ascii="仿宋_GB2312" w:hAnsi="仿宋_GB2312" w:cs="仿宋_GB2312" w:eastAsia="仿宋_GB2312"/>
              </w:rPr>
              <w:t>6.必须遵守单位有关管理的纪律要求，严格执行保密协议的有关规定。</w:t>
            </w:r>
          </w:p>
          <w:p>
            <w:pPr>
              <w:pStyle w:val="null3"/>
            </w:pPr>
            <w:r>
              <w:rPr>
                <w:rFonts w:ascii="仿宋_GB2312" w:hAnsi="仿宋_GB2312" w:cs="仿宋_GB2312" w:eastAsia="仿宋_GB2312"/>
              </w:rPr>
              <w:t>7.服务人员不得有违法犯罪的不良记录。</w:t>
            </w:r>
          </w:p>
          <w:p>
            <w:pPr>
              <w:pStyle w:val="null3"/>
            </w:pPr>
            <w:r>
              <w:rPr>
                <w:rFonts w:ascii="仿宋_GB2312" w:hAnsi="仿宋_GB2312" w:cs="仿宋_GB2312" w:eastAsia="仿宋_GB2312"/>
              </w:rPr>
              <w:t>8.特殊时期配合采购人实行全员封闭式管理。</w:t>
            </w:r>
          </w:p>
          <w:p>
            <w:pPr>
              <w:pStyle w:val="null3"/>
            </w:pPr>
            <w:r>
              <w:rPr>
                <w:rFonts w:ascii="仿宋_GB2312" w:hAnsi="仿宋_GB2312" w:cs="仿宋_GB2312" w:eastAsia="仿宋_GB2312"/>
              </w:rPr>
              <w:t>9.工作期间，工作人员必须统一着装，并佩戴卫生防护用品。</w:t>
            </w:r>
          </w:p>
          <w:p>
            <w:pPr>
              <w:pStyle w:val="null3"/>
            </w:pPr>
            <w:r>
              <w:rPr>
                <w:rFonts w:ascii="仿宋_GB2312" w:hAnsi="仿宋_GB2312" w:cs="仿宋_GB2312" w:eastAsia="仿宋_GB2312"/>
              </w:rPr>
              <w:t>10.其他要求：</w:t>
            </w:r>
          </w:p>
          <w:p>
            <w:pPr>
              <w:pStyle w:val="null3"/>
            </w:pPr>
            <w:r>
              <w:rPr>
                <w:rFonts w:ascii="仿宋_GB2312" w:hAnsi="仿宋_GB2312" w:cs="仿宋_GB2312" w:eastAsia="仿宋_GB2312"/>
              </w:rPr>
              <w:t>供应商在服务实施过程中的安全责任由供应商负全责，采购人不承担任何安全责任，也不承担发生安全事故产生的任何责任。供应商须为所有派驻人员购买人身意外伤害险或工伤保险，向采购人提供相关证明。其他未尽事宜，由双方合同约定。</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四、商务要求</w:t>
            </w:r>
          </w:p>
          <w:p>
            <w:pPr>
              <w:pStyle w:val="null3"/>
            </w:pPr>
            <w:r>
              <w:rPr>
                <w:rFonts w:ascii="仿宋_GB2312" w:hAnsi="仿宋_GB2312" w:cs="仿宋_GB2312" w:eastAsia="仿宋_GB2312"/>
              </w:rPr>
              <w:t>1.服务地点：西安市黑河水源地环境保护管理总站指定地点。</w:t>
            </w:r>
          </w:p>
          <w:p>
            <w:pPr>
              <w:pStyle w:val="null3"/>
            </w:pPr>
            <w:r>
              <w:rPr>
                <w:rFonts w:ascii="仿宋_GB2312" w:hAnsi="仿宋_GB2312" w:cs="仿宋_GB2312" w:eastAsia="仿宋_GB2312"/>
              </w:rPr>
              <w:t>2.服务期：自合同签订之日起一年。</w:t>
            </w:r>
          </w:p>
          <w:p>
            <w:pPr>
              <w:pStyle w:val="null3"/>
            </w:pPr>
            <w:r>
              <w:rPr>
                <w:rFonts w:ascii="仿宋_GB2312" w:hAnsi="仿宋_GB2312" w:cs="仿宋_GB2312" w:eastAsia="仿宋_GB2312"/>
              </w:rPr>
              <w:t>3.成交供应商不得将项目转包或分包给第三方。</w:t>
            </w:r>
          </w:p>
          <w:p>
            <w:pPr>
              <w:pStyle w:val="null3"/>
            </w:pPr>
            <w:r>
              <w:rPr>
                <w:rFonts w:ascii="仿宋_GB2312" w:hAnsi="仿宋_GB2312" w:cs="仿宋_GB2312" w:eastAsia="仿宋_GB2312"/>
              </w:rPr>
              <w:t>4.付款方式：①合同签订后，支付合同总金额(含税)的40%作为预付款；</w:t>
            </w:r>
          </w:p>
          <w:p>
            <w:pPr>
              <w:pStyle w:val="null3"/>
            </w:pPr>
            <w:r>
              <w:rPr>
                <w:rFonts w:ascii="仿宋_GB2312" w:hAnsi="仿宋_GB2312" w:cs="仿宋_GB2312" w:eastAsia="仿宋_GB2312"/>
              </w:rPr>
              <w:t>②服务至2026年8月并通过甲方验收后，支付至合同总金额(含税)的80%；</w:t>
            </w:r>
          </w:p>
          <w:p>
            <w:pPr>
              <w:pStyle w:val="null3"/>
            </w:pPr>
            <w:r>
              <w:rPr>
                <w:rFonts w:ascii="仿宋_GB2312" w:hAnsi="仿宋_GB2312" w:cs="仿宋_GB2312" w:eastAsia="仿宋_GB2312"/>
              </w:rPr>
              <w:t>③服务至2026年11月并通过甲方验收后，支付至合同总金额(含税)的90%；</w:t>
            </w:r>
          </w:p>
          <w:p>
            <w:pPr>
              <w:pStyle w:val="null3"/>
            </w:pPr>
            <w:r>
              <w:rPr>
                <w:rFonts w:ascii="仿宋_GB2312" w:hAnsi="仿宋_GB2312" w:cs="仿宋_GB2312" w:eastAsia="仿宋_GB2312"/>
              </w:rPr>
              <w:t>④服务期结束并通过甲方验收后，支付剩余合同金额(含税)。</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供应商根据服务要求自行响应</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1.符合现行国家、行业“合格”标准，符合采购人要求进行验收。 2.采购人进行验收，若认为验收不合格，供应商应重新调整且进行重新验收。 3.验收依据： ①本项目磋商文件、磋商响应文件； ②本合同及附件文本； ③合同签订时国家及行业现行的标准和技术规范。 ④供应商应向采购人提交项目实施过程中的所有资料，以便采购人日后整理汇总。</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合同签订后，支付合同总金额(含税)的40%作为预付款；</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服务至2026年8月并通过甲方验收后，支付至合同总金额(含税)的80%；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服务至2026年11月并通过甲方验收后，支付至合同总金额(含税)的90%；</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服务期结束并通过甲方验收后，支付剩余合同金额(含税)。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违约责任：1.按《中华人民共和国民法典》中的相关条款和本合同的约定执行。 2.未按合同或磋商文件要求提供服务质量不能满足采购人服务要求，采购人有权终止合同，甚至对供应商违约行为进行追究。 解决争议的方法：合同执行中发生争议的，当事人双方应协商解决。协商不一致时，双方均有权向甲方所在地人民法院提起诉讼。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专门面向中小企业采购，供应商应为中小微企业或监狱企业或残疾人福利性单位。2.本项目属性为服务。3.本项目合同包1采购标的所属行业为：餐饮业；4.本项目是否属于信用担保试点范围：否。5.本项目为固定总价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法人、其他组织或自然人，并出具合法有效的营业执照或事业单位法人证书等国家规定的相关证明，自然人参与的提供其身份证明；2.提供2025年10月至今已缴纳的至少一个月的纳税证明或完税证明（任意税种），依法免税的单位应提供相关证明材料；3.提供2025年10月至今已缴存的至少一个月的社会保障资金缴存单据或社保机构开具的社会保险参保缴费情况证明，依法不需要缴纳社会保障资金的单位应提供相关证明材料；4.提供具有履行合同所必需的设备和专业技术能力的承诺；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的经审计的财务会计报告（成立时间至提交磋商响应文件截止时间不足一年的可提供成立后任意时段的资产负债表），或其基本存款账户开户银行出具的资信证明及基本存款账户开户许可证（基本账户信息表）；（注：根据《陕西省财政厅关于启用会计师事务所审计报告“二维码”赋码查验功能的通知（陕财办会函〔2022〕55号）》，各供应商经审计的财务会计报告需赋加“注册会计师行业统一监管平台”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法定代表人授权书（附法定代表人、被授权人身份证复印件及被授权人开标前三个月内任意一个月在本单位的社保缴纳证明），法定代表人直接参加磋商，须提供法定代表人身份证明；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经营许可</w:t>
            </w:r>
          </w:p>
        </w:tc>
        <w:tc>
          <w:tcPr>
            <w:tcW w:type="dxa" w:w="3322"/>
          </w:tcPr>
          <w:p>
            <w:pPr>
              <w:pStyle w:val="null3"/>
            </w:pPr>
            <w:r>
              <w:rPr>
                <w:rFonts w:ascii="仿宋_GB2312" w:hAnsi="仿宋_GB2312" w:cs="仿宋_GB2312" w:eastAsia="仿宋_GB2312"/>
              </w:rPr>
              <w:t>供应商须提供合法有效的食品经营许可证；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https：//zxgk.court.gov.cn/shixin/）”和“重大税收违法失信主体名单”的供应商，不得为中国政府采购网（www.ccgp.gov.cn）政府采购“严重违法失信行为记录名单”中被财政部门禁止参加政府采购活动的供应商；（信用记录由采购代理机构在响应文件资格审查阶段通过互联网或者相关系统查询，对列入失信被执行人、重大税收违法失信主体名单、政府采购严重违法失信行为记录名单内的，采购人和采购代理机构将拒绝其参与政府采购活动，查询结果以纸质方式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依据财库〔2026〕2号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磋商响应文件上法定代表人或其授权代表人的签字齐全并加盖公章</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是否专门面向中小企业</w:t>
            </w:r>
          </w:p>
        </w:tc>
        <w:tc>
          <w:tcPr>
            <w:tcW w:type="dxa" w:w="3322"/>
          </w:tcPr>
          <w:p>
            <w:pPr>
              <w:pStyle w:val="null3"/>
            </w:pPr>
            <w:r>
              <w:rPr>
                <w:rFonts w:ascii="仿宋_GB2312" w:hAnsi="仿宋_GB2312" w:cs="仿宋_GB2312" w:eastAsia="仿宋_GB2312"/>
              </w:rPr>
              <w:t>本项目专门面向中小企业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供应商参加政府采购活动承诺书.docx 业绩.docx 中小企业声明函 报价表 资格证明文件.docx 其他说明.docx 响应文件封面 残疾人福利性单位声明函 标的清单 响应函 商务条款偏离表.docx 监狱企业的证明文件 磋商方案.docx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磋商响应文件内容齐全、无遗漏（除评审因素外）</w:t>
            </w:r>
          </w:p>
        </w:tc>
        <w:tc>
          <w:tcPr>
            <w:tcW w:type="dxa" w:w="1661"/>
          </w:tcPr>
          <w:p>
            <w:pPr>
              <w:pStyle w:val="null3"/>
            </w:pPr>
            <w:r>
              <w:rPr>
                <w:rFonts w:ascii="仿宋_GB2312" w:hAnsi="仿宋_GB2312" w:cs="仿宋_GB2312" w:eastAsia="仿宋_GB2312"/>
              </w:rPr>
              <w:t>响应函 其他说明.docx 商务条款偏离表.docx 磋商方案.docx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应满足磋商文件中要求的服务期</w:t>
            </w:r>
          </w:p>
        </w:tc>
        <w:tc>
          <w:tcPr>
            <w:tcW w:type="dxa" w:w="1661"/>
          </w:tcPr>
          <w:p>
            <w:pPr>
              <w:pStyle w:val="null3"/>
            </w:pPr>
            <w:r>
              <w:rPr>
                <w:rFonts w:ascii="仿宋_GB2312" w:hAnsi="仿宋_GB2312" w:cs="仿宋_GB2312" w:eastAsia="仿宋_GB2312"/>
              </w:rPr>
              <w:t>响应函 商务条款偏离表.docx 其他说明.docx 磋商方案.docx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 商务条款偏离表.docx 其他说明.docx 磋商方案.docx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餐品制作方案</w:t>
            </w:r>
          </w:p>
        </w:tc>
        <w:tc>
          <w:tcPr>
            <w:tcW w:type="dxa" w:w="2492"/>
          </w:tcPr>
          <w:p>
            <w:pPr>
              <w:pStyle w:val="null3"/>
            </w:pPr>
            <w:r>
              <w:rPr>
                <w:rFonts w:ascii="仿宋_GB2312" w:hAnsi="仿宋_GB2312" w:cs="仿宋_GB2312" w:eastAsia="仿宋_GB2312"/>
              </w:rPr>
              <w:t>一、评审内容 针对本项目的餐品制作方案： 1.餐厅餐食制作流程 2.饭菜安排品种方案 3.饭菜营养搭配方案 4.食品原材料验收方案 二、评审标准 1.完整性：方案必须全面，对评审内容中的各项要求有详细描述; 2.可实施性：切合本项目实际情况，提出步骤清晰、合理的方案; 3.针对性：方案能够紧扣项目实际情况，内容科学合理。 三、赋分标准(满分18分) 以上每项每完全满足一个评审标准得1.5分，每项评审内容每有一处缺陷扣0.5分，单项满分4.5分。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质量保障方案</w:t>
            </w:r>
          </w:p>
        </w:tc>
        <w:tc>
          <w:tcPr>
            <w:tcW w:type="dxa" w:w="2492"/>
          </w:tcPr>
          <w:p>
            <w:pPr>
              <w:pStyle w:val="null3"/>
            </w:pPr>
            <w:r>
              <w:rPr>
                <w:rFonts w:ascii="仿宋_GB2312" w:hAnsi="仿宋_GB2312" w:cs="仿宋_GB2312" w:eastAsia="仿宋_GB2312"/>
              </w:rPr>
              <w:t>一、评审内容 针对本项目的质量保障方案： 1.食品质量保障方案 2.菜品质量保障方案 3.服务质量保障措施 4.餐厅设备日常维护制度 5.提供食品留样制度和食品安全追查溯源制度 二、评审标准 1.完整性：方案必须全面，对评审内容中的各项要求有详细描述; 2.可实施性：切合本项目实际情况，提出步骤清晰、合理的方案; 3.针对性：方案能够紧扣项目实际情况，内容科学合理。 三、赋分标准(满分15分) 以上每项每完全满足一个评审标准得1分，每项评审内容每有一处缺陷扣0.5分，单项满分3分。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卫生管理方案</w:t>
            </w:r>
          </w:p>
        </w:tc>
        <w:tc>
          <w:tcPr>
            <w:tcW w:type="dxa" w:w="2492"/>
          </w:tcPr>
          <w:p>
            <w:pPr>
              <w:pStyle w:val="null3"/>
            </w:pPr>
            <w:r>
              <w:rPr>
                <w:rFonts w:ascii="仿宋_GB2312" w:hAnsi="仿宋_GB2312" w:cs="仿宋_GB2312" w:eastAsia="仿宋_GB2312"/>
              </w:rPr>
              <w:t>一、评审内容 针对本项目的卫生管理方案： 1.从业人员卫生管理方案 2.餐厅内及餐厅周边的清洁方案 3.食品、餐食卫生管理方案 4.食材存放卫生管理制度 5.制作各环节卫生管控措施 6.垃圾处理方案 二、评审标准 1.完整性：方案必须全面，对评审内容中的各项要求有详细描述; 2.可实施性：切合本项目实际情况，提出步骤清晰、合理的方案; 3.针对性：方案能够紧扣项目实际情况，内容科学合理。 三、赋分标准(满分18分) 以上每项每完全满足一个评审标准得1分，每项评审内容每有一处缺陷扣0.5分，单项满分3分。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突发事件应急预案</w:t>
            </w:r>
          </w:p>
        </w:tc>
        <w:tc>
          <w:tcPr>
            <w:tcW w:type="dxa" w:w="2492"/>
          </w:tcPr>
          <w:p>
            <w:pPr>
              <w:pStyle w:val="null3"/>
            </w:pPr>
            <w:r>
              <w:rPr>
                <w:rFonts w:ascii="仿宋_GB2312" w:hAnsi="仿宋_GB2312" w:cs="仿宋_GB2312" w:eastAsia="仿宋_GB2312"/>
              </w:rPr>
              <w:t>一、评审内容 针对本项目潜在的紧急突发事件具有足够的预见性，有完善的安全管理及突发事件应急预案： 1.临时性用餐预案 2.设备安全应急预案(如燃气泄漏、电路故障等) 3.食物中毒应急预案 4.针对火灾、漏电、停水停电停气等突发事件应急措施 二、评审标准 1.完整性：方案必须全面，对评审内容中的各项要求有详细描述; 2.可实施性：切合本项目实际情况，提出步骤清晰、合理的方案; 3.针对性：方案能够紧扣项目实际情况，内容科学合理。 三、赋分标准(满分12分) 以上每项每完全满足一个评审标准得1分，每项评审内容每有一处缺陷扣0.5分，单项满分3分。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服务团队配置</w:t>
            </w:r>
          </w:p>
        </w:tc>
        <w:tc>
          <w:tcPr>
            <w:tcW w:type="dxa" w:w="2492"/>
          </w:tcPr>
          <w:p>
            <w:pPr>
              <w:pStyle w:val="null3"/>
            </w:pPr>
            <w:r>
              <w:rPr>
                <w:rFonts w:ascii="仿宋_GB2312" w:hAnsi="仿宋_GB2312" w:cs="仿宋_GB2312" w:eastAsia="仿宋_GB2312"/>
              </w:rPr>
              <w:t>一、评审内容 针对本项目的服务团队配置： 1.项目团队设置方案 2.团队人员职能分工及职责划分方案 3.人员培训。 二、评审标准 1.完整性：方案必须全面，对评审内容中的各项要求有详细描述; 2.可实施性：切合本项目实际情况，提出步骤清晰、合理的方案; 3.针对性：方案能够紧扣项目实际情况，内容科学合理 三、赋分标准(满分9分) 以上每项每完全满足一个评审标准得1分，每项评审内容每有一处缺陷扣0.5分，单项满分3分。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服务规范</w:t>
            </w:r>
          </w:p>
        </w:tc>
        <w:tc>
          <w:tcPr>
            <w:tcW w:type="dxa" w:w="2492"/>
          </w:tcPr>
          <w:p>
            <w:pPr>
              <w:pStyle w:val="null3"/>
            </w:pPr>
            <w:r>
              <w:rPr>
                <w:rFonts w:ascii="仿宋_GB2312" w:hAnsi="仿宋_GB2312" w:cs="仿宋_GB2312" w:eastAsia="仿宋_GB2312"/>
              </w:rPr>
              <w:t>一、评审内容 针对本项目的服务规范： 1.制定服务规范(如员工着装、服务态度、就餐秩序维护等) 2.制定投诉处理机制，提供处理流程 二、评审标准 1.完整性：方案必须全面，对评审内容中的各项要求有详细描述; 2.可实施性：切合本项目实际情况，提出步骤清晰、合理的方案; 三、赋分标准(满分8分) 以上每项每完全满足一个评审标准得2分，每项评审内容每有一处缺陷扣0.5分，单项满分4分。 备注：评审内容“缺陷”是指：内容不完整或缺少关键点；非专门针对本项目或不适用本项目特性、套用其他项目方案内容；存在逻辑：漏洞、科学原理或常识错误；不利于本项目实施、现有技术条件下无法实现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p>
            <w:pPr>
              <w:pStyle w:val="null3"/>
            </w:pPr>
            <w:r>
              <w:rPr>
                <w:rFonts w:ascii="仿宋_GB2312" w:hAnsi="仿宋_GB2312" w:cs="仿宋_GB2312" w:eastAsia="仿宋_GB2312"/>
              </w:rPr>
              <w:t>其他说明.docx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2022年01月01日至今类似项目业绩，每提供1份计2分，最高得10分；业绩证明（以合同（协议）或中标（成交）通知书为准，须在磋商响应文件中附合同（协议）或中标（成交）通知书的扫描件加盖单位公章）弄虚作假者，取消其成交资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对符合政策性扣减的供应商的有效磋商价格进行政策性扣减，并依据扣减后的价格（评审价格）进行价格评审。2.满足磋商文件实质性要求且最终报价最低的供应商的价格为磋商基准价，其价格分10分。3.磋商报价得分=（磋商基准价/最终磋商报价）×10的公式计算得分。4.磋商报价不完整的，不进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详见附件：西安市黑河水源地环境保护管理总站公共场所物业管理项目（餐饮服务）采购合同.docx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