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color w:val="auto"/>
          <w:kern w:val="0"/>
          <w:sz w:val="32"/>
          <w:szCs w:val="32"/>
          <w:highlight w:val="none"/>
          <w:lang w:val="en-US" w:eastAsia="zh-CN"/>
        </w:rPr>
        <w:t>供应商应提交的相关资格证明材料</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before="120" w:line="360" w:lineRule="auto"/>
        <w:jc w:val="center"/>
        <w:outlineLvl w:val="2"/>
        <w:rPr>
          <w:rFonts w:hAnsi="宋体" w:cs="宋体"/>
          <w:sz w:val="21"/>
          <w:szCs w:val="21"/>
        </w:rPr>
      </w:pPr>
      <w:bookmarkStart w:id="0" w:name="_Toc30017"/>
      <w:bookmarkStart w:id="1" w:name="_Toc1730"/>
      <w:bookmarkStart w:id="2" w:name="_Toc10232"/>
      <w:bookmarkStart w:id="3" w:name="_Toc10169"/>
      <w:bookmarkStart w:id="4" w:name="_Toc8313"/>
      <w:bookmarkStart w:id="5" w:name="_Toc2296"/>
      <w:bookmarkStart w:id="6" w:name="_Toc495681532"/>
      <w:bookmarkStart w:id="7" w:name="_Toc495671262"/>
      <w:bookmarkStart w:id="8" w:name="_Toc495681251"/>
      <w:bookmarkStart w:id="9" w:name="_Toc31488"/>
      <w:bookmarkStart w:id="10" w:name="_Toc495908047"/>
      <w:bookmarkStart w:id="11" w:name="_Toc495681405"/>
      <w:bookmarkStart w:id="12" w:name="_Toc27035"/>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（1）根据投标供应商类别进行提供： ①如供应商是企业（包括合伙企业），应提供在市场监督管理局注册的有效“企业法人营业执照”或“营业执照”；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5217"/>
      <w:bookmarkStart w:id="14" w:name="_Toc24754"/>
      <w:bookmarkStart w:id="15" w:name="_Toc4584"/>
      <w:bookmarkStart w:id="16" w:name="_Toc27384"/>
      <w:bookmarkStart w:id="17" w:name="_Toc21316"/>
      <w:bookmarkStart w:id="18" w:name="_Toc30185"/>
      <w:bookmarkStart w:id="19" w:name="_Toc894"/>
      <w:bookmarkStart w:id="20" w:name="_Toc16911"/>
      <w:bookmarkStart w:id="21" w:name="_Toc32165"/>
      <w:bookmarkStart w:id="22" w:name="_Toc495671270"/>
      <w:bookmarkStart w:id="23" w:name="_Toc20217"/>
      <w:bookmarkStart w:id="24" w:name="_Toc19057"/>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lang w:val="en-US" w:eastAsia="zh-CN"/>
        </w:rPr>
      </w:pPr>
      <w:r>
        <w:rPr>
          <w:rFonts w:hint="eastAsia" w:hAnsi="宋体" w:cs="宋体"/>
          <w:sz w:val="21"/>
          <w:szCs w:val="21"/>
          <w:lang w:val="en-US" w:eastAsia="zh-CN"/>
        </w:rPr>
        <w:t xml:space="preserve">   提供2024年度或2025年度经审计的财务报告（成立时间至提交响应文件截止时间不足一年的可提供成立后任意时段的资产负债表），或响应文件递交截止日前 6 个月内银行出具的资信证明；</w:t>
      </w:r>
    </w:p>
    <w:p>
      <w:pPr>
        <w:topLinePunct/>
        <w:spacing w:line="360" w:lineRule="auto"/>
        <w:jc w:val="left"/>
        <w:rPr>
          <w:rFonts w:hint="eastAsia" w:hAnsi="宋体" w:cs="宋体"/>
          <w:sz w:val="21"/>
          <w:szCs w:val="21"/>
        </w:rPr>
      </w:pP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17892"/>
      <w:bookmarkStart w:id="26" w:name="_Toc19234"/>
      <w:bookmarkStart w:id="27" w:name="_Toc6124"/>
      <w:bookmarkStart w:id="28" w:name="_Toc4064"/>
      <w:bookmarkStart w:id="29" w:name="_Toc5342"/>
      <w:bookmarkStart w:id="30" w:name="_Toc27653"/>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pStyle w:val="2"/>
        <w:ind w:firstLine="420" w:firstLineChars="200"/>
        <w:rPr>
          <w:rFonts w:hint="eastAsia" w:hAnsi="宋体" w:cs="宋体" w:asciiTheme="minorHAnsi" w:eastAsiaTheme="minorEastAsia"/>
          <w:b w:val="0"/>
          <w:bCs/>
          <w:color w:val="auto"/>
          <w:kern w:val="2"/>
          <w:sz w:val="21"/>
          <w:szCs w:val="21"/>
          <w:lang w:val="en-US" w:eastAsia="zh-CN" w:bidi="ar-SA"/>
        </w:rPr>
      </w:pPr>
      <w:r>
        <w:rPr>
          <w:rFonts w:hint="eastAsia" w:hAnsi="宋体" w:cs="宋体" w:asciiTheme="minorHAnsi" w:eastAsiaTheme="minorEastAsia"/>
          <w:b w:val="0"/>
          <w:bCs/>
          <w:color w:val="auto"/>
          <w:kern w:val="2"/>
          <w:sz w:val="21"/>
          <w:szCs w:val="21"/>
          <w:lang w:val="en-US" w:eastAsia="zh-CN" w:bidi="ar-SA"/>
        </w:rPr>
        <w:t>提供已缴纳的2025年</w:t>
      </w:r>
      <w:r>
        <w:rPr>
          <w:rFonts w:hint="eastAsia" w:hAnsi="宋体" w:cs="宋体" w:asciiTheme="minorHAnsi"/>
          <w:b w:val="0"/>
          <w:bCs/>
          <w:color w:val="auto"/>
          <w:kern w:val="2"/>
          <w:sz w:val="21"/>
          <w:szCs w:val="21"/>
          <w:lang w:val="en-US" w:eastAsia="zh-CN" w:bidi="ar-SA"/>
        </w:rPr>
        <w:t>10</w:t>
      </w:r>
      <w:r>
        <w:rPr>
          <w:rFonts w:hint="eastAsia" w:hAnsi="宋体" w:cs="宋体" w:asciiTheme="minorHAnsi" w:eastAsiaTheme="minorEastAsia"/>
          <w:b w:val="0"/>
          <w:bCs/>
          <w:color w:val="auto"/>
          <w:kern w:val="2"/>
          <w:sz w:val="21"/>
          <w:szCs w:val="21"/>
          <w:lang w:val="en-US" w:eastAsia="zh-CN" w:bidi="ar-SA"/>
        </w:rPr>
        <w:t>月1日以来至少一个月的纳税证明或完税证明，纳税证明或完税证明上应有代收机构或税务机关的公章或业务专用章。依法免税的投标人应提供相关文件证明。</w:t>
      </w:r>
    </w:p>
    <w:p>
      <w:pPr>
        <w:spacing w:line="360" w:lineRule="auto"/>
        <w:ind w:firstLine="480"/>
        <w:rPr>
          <w:rFonts w:hint="eastAsia" w:hAnsi="宋体" w:cs="宋体"/>
          <w:sz w:val="21"/>
          <w:szCs w:val="21"/>
          <w:lang w:eastAsia="zh-CN"/>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5283"/>
      <w:bookmarkStart w:id="32" w:name="_Toc1891"/>
      <w:bookmarkStart w:id="33" w:name="_Toc7176"/>
      <w:bookmarkStart w:id="34" w:name="_Toc23064"/>
      <w:bookmarkStart w:id="35" w:name="_Toc12644"/>
      <w:bookmarkStart w:id="36" w:name="_Toc17953"/>
      <w:r>
        <w:rPr>
          <w:rFonts w:hint="eastAsia" w:hAnsi="宋体" w:cs="宋体"/>
          <w:b/>
          <w:sz w:val="21"/>
          <w:szCs w:val="21"/>
        </w:rPr>
        <w:t>（四）</w:t>
      </w:r>
      <w:bookmarkEnd w:id="31"/>
      <w:bookmarkEnd w:id="32"/>
      <w:bookmarkEnd w:id="33"/>
      <w:bookmarkEnd w:id="34"/>
      <w:bookmarkEnd w:id="35"/>
      <w:bookmarkEnd w:id="36"/>
      <w:r>
        <w:rPr>
          <w:rFonts w:hint="eastAsia" w:hAnsi="宋体" w:cs="宋体"/>
          <w:b/>
          <w:sz w:val="21"/>
          <w:szCs w:val="21"/>
        </w:rPr>
        <w:t>社会保障资金缴纳证明</w:t>
      </w:r>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w:t>
      </w:r>
      <w:r>
        <w:rPr>
          <w:rFonts w:hint="eastAsia" w:hAnsi="宋体" w:cs="宋体"/>
          <w:sz w:val="21"/>
          <w:szCs w:val="21"/>
        </w:rPr>
        <w:t xml:space="preserve"> 2025年</w:t>
      </w:r>
      <w:r>
        <w:rPr>
          <w:rFonts w:hint="eastAsia" w:hAnsi="宋体" w:cs="宋体"/>
          <w:sz w:val="21"/>
          <w:szCs w:val="21"/>
          <w:lang w:val="en-US" w:eastAsia="zh-CN"/>
        </w:rPr>
        <w:t>10</w:t>
      </w:r>
      <w:bookmarkStart w:id="76" w:name="_GoBack"/>
      <w:bookmarkEnd w:id="76"/>
      <w:r>
        <w:rPr>
          <w:rFonts w:hint="eastAsia" w:hAnsi="宋体" w:cs="宋体"/>
          <w:sz w:val="21"/>
          <w:szCs w:val="21"/>
        </w:rPr>
        <w:t>月1日</w:t>
      </w:r>
      <w:r>
        <w:rPr>
          <w:rFonts w:hint="eastAsia" w:hAnsi="宋体" w:cs="宋体"/>
          <w:sz w:val="21"/>
          <w:szCs w:val="21"/>
          <w:lang w:val="en-US" w:eastAsia="zh-CN"/>
        </w:rPr>
        <w:t>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bidi w:val="0"/>
        <w:rPr>
          <w:rFonts w:hint="eastAsia"/>
        </w:rPr>
      </w:pPr>
      <w:bookmarkStart w:id="37" w:name="_Toc24182"/>
      <w:bookmarkStart w:id="38" w:name="_Toc19859"/>
      <w:bookmarkStart w:id="39" w:name="_Toc21012"/>
    </w:p>
    <w:p>
      <w:pPr>
        <w:pStyle w:val="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pPr>
    </w:p>
    <w:p>
      <w:pPr>
        <w:spacing w:line="360" w:lineRule="auto"/>
        <w:jc w:val="center"/>
        <w:outlineLvl w:val="2"/>
        <w:rPr>
          <w:rFonts w:hAnsi="宋体" w:cs="宋体"/>
          <w:b/>
          <w:sz w:val="21"/>
          <w:szCs w:val="21"/>
        </w:rPr>
      </w:pPr>
      <w:bookmarkStart w:id="40" w:name="_Toc1093"/>
      <w:bookmarkStart w:id="41" w:name="_Toc10898"/>
      <w:bookmarkStart w:id="42" w:name="_Toc23846"/>
      <w:bookmarkStart w:id="43" w:name="_Toc8455"/>
      <w:bookmarkStart w:id="44" w:name="_Toc25944"/>
      <w:bookmarkStart w:id="45" w:name="_Toc18948"/>
      <w:bookmarkStart w:id="46" w:name="_Toc31742"/>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10275"/>
      <w:bookmarkStart w:id="49" w:name="_Toc6501"/>
      <w:bookmarkStart w:id="50" w:name="_Toc28784"/>
      <w:bookmarkStart w:id="51" w:name="_Toc17057"/>
      <w:bookmarkStart w:id="52" w:name="_Toc3871"/>
      <w:bookmarkStart w:id="53" w:name="_Toc1010"/>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w:t>
      </w:r>
      <w:bookmarkEnd w:id="48"/>
      <w:bookmarkEnd w:id="49"/>
      <w:bookmarkEnd w:id="50"/>
      <w:bookmarkEnd w:id="51"/>
      <w:bookmarkEnd w:id="52"/>
      <w:bookmarkEnd w:id="53"/>
      <w:r>
        <w:rPr>
          <w:rFonts w:hint="eastAsia" w:hAnsi="宋体" w:cs="宋体"/>
          <w:b/>
          <w:sz w:val="21"/>
          <w:szCs w:val="21"/>
          <w:lang w:val="zh-CN"/>
        </w:rPr>
        <w:t>授权书</w:t>
      </w:r>
    </w:p>
    <w:p>
      <w:pPr>
        <w:adjustRightInd w:val="0"/>
        <w:snapToGrid w:val="0"/>
        <w:spacing w:line="360" w:lineRule="auto"/>
        <w:jc w:val="center"/>
        <w:outlineLvl w:val="3"/>
        <w:rPr>
          <w:rFonts w:hAnsi="宋体" w:cs="宋体"/>
          <w:b/>
          <w:sz w:val="21"/>
          <w:szCs w:val="21"/>
        </w:rPr>
      </w:pPr>
      <w:bookmarkStart w:id="54" w:name="_Toc32662"/>
      <w:bookmarkStart w:id="55" w:name="_Toc495681252"/>
      <w:bookmarkStart w:id="56" w:name="_Toc495908048"/>
      <w:bookmarkStart w:id="57" w:name="_Toc18742"/>
      <w:bookmarkStart w:id="58" w:name="_Toc495681406"/>
      <w:bookmarkStart w:id="59" w:name="_Toc495671263"/>
      <w:bookmarkStart w:id="60" w:name="_Toc495681533"/>
      <w:bookmarkStart w:id="61" w:name="_Toc1610"/>
      <w:r>
        <w:rPr>
          <w:rFonts w:hint="eastAsia" w:hAnsi="宋体" w:cs="宋体"/>
          <w:b/>
          <w:sz w:val="21"/>
          <w:szCs w:val="21"/>
        </w:rPr>
        <w:t>1、法定代表人</w:t>
      </w:r>
      <w:r>
        <w:rPr>
          <w:rFonts w:hint="eastAsia" w:hAnsi="宋体" w:cs="宋体"/>
          <w:b/>
          <w:sz w:val="21"/>
          <w:szCs w:val="21"/>
          <w:lang w:eastAsia="zh-CN"/>
        </w:rPr>
        <w:t>（负责人）</w:t>
      </w:r>
      <w:r>
        <w:rPr>
          <w:rFonts w:hint="eastAsia" w:hAnsi="宋体" w:cs="宋体"/>
          <w:b/>
          <w:sz w:val="21"/>
          <w:szCs w:val="21"/>
        </w:rPr>
        <w:t>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r>
        <w:rPr>
          <w:rFonts w:hint="eastAsia" w:hAnsi="宋体" w:cs="宋体"/>
          <w:sz w:val="21"/>
          <w:szCs w:val="21"/>
          <w:lang w:eastAsia="zh-CN"/>
        </w:rPr>
        <w:t>（单位负责人）</w:t>
      </w:r>
      <w:r>
        <w:rPr>
          <w:rFonts w:hint="eastAsia" w:hAnsi="宋体" w:cs="宋体"/>
          <w:sz w:val="21"/>
          <w:szCs w:val="21"/>
        </w:rPr>
        <w:t>。</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w:t>
      </w:r>
      <w:r>
        <w:rPr>
          <w:rFonts w:hint="eastAsia" w:hAnsi="宋体" w:cs="宋体"/>
          <w:sz w:val="21"/>
          <w:szCs w:val="21"/>
          <w:lang w:eastAsia="zh-CN"/>
        </w:rPr>
        <w:t>（负责人）</w:t>
      </w:r>
      <w:r>
        <w:rPr>
          <w:rFonts w:hint="eastAsia" w:hAnsi="宋体" w:cs="宋体"/>
          <w:sz w:val="21"/>
          <w:szCs w:val="21"/>
        </w:rPr>
        <w:t>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w:t>
            </w:r>
            <w:r>
              <w:rPr>
                <w:rFonts w:hint="eastAsia" w:hAnsi="宋体" w:cs="宋体"/>
                <w:sz w:val="21"/>
                <w:szCs w:val="21"/>
                <w:lang w:eastAsia="zh-CN"/>
              </w:rPr>
              <w:t>（负责人）</w:t>
            </w:r>
            <w:r>
              <w:rPr>
                <w:rFonts w:hint="eastAsia" w:hAnsi="宋体" w:cs="宋体"/>
                <w:sz w:val="21"/>
                <w:szCs w:val="21"/>
                <w:lang w:val="zh-CN"/>
              </w:rPr>
              <w:t>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b w:val="0"/>
                <w:color w:val="auto"/>
                <w:sz w:val="21"/>
                <w:szCs w:val="21"/>
                <w:lang w:val="zh-CN"/>
              </w:rPr>
            </w:pPr>
            <w:r>
              <w:rPr>
                <w:rFonts w:hint="eastAsia"/>
                <w:lang w:val="zh-CN"/>
              </w:rPr>
              <w:t xml:space="preserve">         </w:t>
            </w:r>
          </w:p>
          <w:p>
            <w:pPr>
              <w:pStyle w:val="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w:t>
            </w:r>
            <w:r>
              <w:rPr>
                <w:rFonts w:hint="eastAsia" w:hAnsi="宋体" w:cs="宋体"/>
                <w:sz w:val="21"/>
                <w:szCs w:val="21"/>
                <w:lang w:eastAsia="zh-CN"/>
              </w:rPr>
              <w:t>（负责人）</w:t>
            </w:r>
            <w:r>
              <w:rPr>
                <w:rFonts w:hint="eastAsia" w:hAnsi="宋体" w:cs="宋体"/>
                <w:sz w:val="21"/>
                <w:szCs w:val="21"/>
                <w:lang w:val="zh-CN"/>
              </w:rPr>
              <w:t>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lang w:val="zh-CN"/>
              </w:rPr>
            </w:pPr>
            <w:r>
              <w:rPr>
                <w:rFonts w:hint="eastAsia"/>
                <w:lang w:val="zh-CN"/>
              </w:rPr>
              <w:t xml:space="preserve">        </w:t>
            </w:r>
          </w:p>
          <w:p>
            <w:pPr>
              <w:pStyle w:val="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81407"/>
      <w:bookmarkStart w:id="63" w:name="_Toc495681253"/>
      <w:bookmarkStart w:id="64" w:name="_Toc495908049"/>
      <w:bookmarkStart w:id="65" w:name="_Toc495681534"/>
      <w:bookmarkStart w:id="66" w:name="_Toc495671264"/>
      <w:bookmarkStart w:id="67" w:name="_Toc18921"/>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32169"/>
      <w:bookmarkStart w:id="69" w:name="_Toc29369"/>
      <w:r>
        <w:rPr>
          <w:rFonts w:hint="eastAsia" w:hAnsi="宋体" w:cs="宋体"/>
          <w:b/>
          <w:sz w:val="21"/>
          <w:szCs w:val="21"/>
        </w:rPr>
        <w:t>2、法定代表人</w:t>
      </w:r>
      <w:r>
        <w:rPr>
          <w:rFonts w:hint="eastAsia" w:hAnsi="宋体" w:cs="宋体"/>
          <w:b/>
          <w:sz w:val="21"/>
          <w:szCs w:val="21"/>
          <w:lang w:eastAsia="zh-CN"/>
        </w:rPr>
        <w:t>（负责人）</w:t>
      </w:r>
      <w:r>
        <w:rPr>
          <w:rFonts w:hint="eastAsia" w:hAnsi="宋体" w:cs="宋体"/>
          <w:b/>
          <w:sz w:val="21"/>
          <w:szCs w:val="21"/>
        </w:rPr>
        <w:t>授权</w:t>
      </w:r>
      <w:r>
        <w:rPr>
          <w:rFonts w:hint="eastAsia" w:hAnsi="宋体" w:cs="宋体"/>
          <w:b/>
          <w:sz w:val="21"/>
          <w:szCs w:val="21"/>
          <w:lang w:eastAsia="zh-CN"/>
        </w:rPr>
        <w:t>委托</w:t>
      </w:r>
      <w:r>
        <w:rPr>
          <w:rFonts w:hint="eastAsia" w:hAnsi="宋体" w:cs="宋体"/>
          <w:b/>
          <w:sz w:val="21"/>
          <w:szCs w:val="21"/>
        </w:rPr>
        <w:t>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w:t>
      </w:r>
      <w:r>
        <w:rPr>
          <w:rFonts w:hint="eastAsia" w:hAnsi="宋体" w:cs="宋体"/>
          <w:sz w:val="21"/>
          <w:szCs w:val="21"/>
          <w:lang w:val="zh-CN"/>
        </w:rPr>
        <w:t>陕西瀚海昱源企业管理咨询有限公司：</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lang w:eastAsia="zh-CN"/>
        </w:rPr>
        <w:t>（单位负责人）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w:t>
      </w:r>
      <w:r>
        <w:rPr>
          <w:rFonts w:hint="eastAsia" w:hAnsi="宋体" w:cs="宋体"/>
          <w:sz w:val="21"/>
          <w:szCs w:val="21"/>
          <w:lang w:eastAsia="zh-CN"/>
        </w:rPr>
        <w:t>（负责人）</w:t>
      </w:r>
      <w:r>
        <w:rPr>
          <w:rFonts w:hint="eastAsia" w:hAnsi="宋体" w:cs="宋体"/>
          <w:sz w:val="21"/>
          <w:szCs w:val="21"/>
        </w:rPr>
        <w:t>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4"/>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w:t>
      </w:r>
      <w:r>
        <w:rPr>
          <w:rFonts w:hint="eastAsia" w:hAnsi="宋体" w:cs="宋体"/>
          <w:b/>
          <w:sz w:val="21"/>
          <w:szCs w:val="21"/>
          <w:lang w:eastAsia="zh-CN"/>
        </w:rPr>
        <w:t>谈判</w:t>
      </w:r>
      <w:r>
        <w:rPr>
          <w:rFonts w:hint="eastAsia" w:hAnsi="宋体" w:cs="宋体"/>
          <w:b/>
          <w:sz w:val="21"/>
          <w:szCs w:val="21"/>
        </w:rPr>
        <w:t>，不允许分包</w:t>
      </w:r>
    </w:p>
    <w:p>
      <w:pPr>
        <w:jc w:val="center"/>
        <w:rPr>
          <w:rFonts w:hint="eastAsia" w:hAnsi="宋体" w:cs="宋体"/>
          <w:sz w:val="21"/>
          <w:szCs w:val="21"/>
        </w:rPr>
      </w:pPr>
      <w:bookmarkStart w:id="70" w:name="_Toc10845"/>
      <w:bookmarkStart w:id="71" w:name="_Toc25082"/>
      <w:bookmarkStart w:id="72" w:name="_Toc10643"/>
      <w:r>
        <w:rPr>
          <w:rFonts w:hint="eastAsia" w:hAnsi="宋体" w:cs="宋体"/>
          <w:sz w:val="21"/>
          <w:szCs w:val="21"/>
        </w:rPr>
        <w:t>格式自拟</w:t>
      </w: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both"/>
        <w:rPr>
          <w:rFonts w:hint="eastAsia" w:hAnsi="宋体" w:cs="宋体" w:asciiTheme="minorHAnsi" w:eastAsiaTheme="minorEastAsia"/>
          <w:b/>
          <w:color w:val="auto"/>
          <w:kern w:val="2"/>
          <w:sz w:val="21"/>
          <w:szCs w:val="21"/>
          <w:lang w:val="en-US" w:eastAsia="zh-CN" w:bidi="ar-SA"/>
        </w:rPr>
      </w:pPr>
    </w:p>
    <w:p>
      <w:pPr>
        <w:rPr>
          <w:rFonts w:hint="eastAsia" w:hAnsi="宋体" w:cs="宋体" w:asciiTheme="minorHAnsi" w:eastAsiaTheme="minorEastAsia"/>
          <w:b/>
          <w:color w:val="auto"/>
          <w:kern w:val="2"/>
          <w:sz w:val="21"/>
          <w:szCs w:val="21"/>
          <w:lang w:val="en-US" w:eastAsia="zh-CN" w:bidi="ar-SA"/>
        </w:rPr>
      </w:pPr>
    </w:p>
    <w:p>
      <w:pPr>
        <w:pStyle w:val="2"/>
        <w:rPr>
          <w:rFonts w:hint="eastAsia"/>
          <w:lang w:val="en-US" w:eastAsia="zh-CN"/>
        </w:rPr>
      </w:pPr>
    </w:p>
    <w:p>
      <w:pPr>
        <w:pStyle w:val="2"/>
        <w:jc w:val="both"/>
        <w:rPr>
          <w:rFonts w:hint="eastAsia" w:hAnsi="宋体" w:cs="宋体" w:asciiTheme="minorHAnsi" w:eastAsiaTheme="minorEastAsia"/>
          <w:b/>
          <w:color w:val="auto"/>
          <w:kern w:val="2"/>
          <w:sz w:val="21"/>
          <w:szCs w:val="21"/>
          <w:lang w:val="en-US" w:eastAsia="zh-CN" w:bidi="ar-SA"/>
        </w:rPr>
      </w:pPr>
    </w:p>
    <w:p>
      <w:pPr>
        <w:rPr>
          <w:rFonts w:hint="eastAsia"/>
          <w:lang w:val="en-US" w:eastAsia="zh-CN"/>
        </w:rPr>
      </w:pPr>
    </w:p>
    <w:p>
      <w:pPr>
        <w:adjustRightInd w:val="0"/>
        <w:snapToGrid w:val="0"/>
        <w:spacing w:line="360" w:lineRule="auto"/>
        <w:jc w:val="center"/>
        <w:outlineLvl w:val="2"/>
        <w:rPr>
          <w:rFonts w:hAnsi="宋体" w:cs="宋体"/>
          <w:b/>
          <w:sz w:val="21"/>
          <w:szCs w:val="21"/>
          <w:lang w:val="zh-CN"/>
        </w:rPr>
      </w:pPr>
      <w:bookmarkStart w:id="73" w:name="_Toc30526"/>
      <w:bookmarkStart w:id="74" w:name="_Toc29"/>
      <w:bookmarkStart w:id="75" w:name="_Toc20361"/>
    </w:p>
    <w:p>
      <w:pPr>
        <w:adjustRightInd w:val="0"/>
        <w:snapToGrid w:val="0"/>
        <w:spacing w:line="360" w:lineRule="auto"/>
        <w:jc w:val="both"/>
        <w:outlineLvl w:val="2"/>
        <w:rPr>
          <w:rFonts w:hAnsi="宋体" w:cs="宋体"/>
          <w:b/>
          <w:sz w:val="21"/>
          <w:szCs w:val="21"/>
          <w:lang w:val="zh-CN"/>
        </w:rPr>
      </w:pPr>
    </w:p>
    <w:bookmarkEnd w:id="70"/>
    <w:bookmarkEnd w:id="71"/>
    <w:bookmarkEnd w:id="72"/>
    <w:bookmarkEnd w:id="73"/>
    <w:bookmarkEnd w:id="74"/>
    <w:bookmarkEnd w:id="75"/>
    <w:p>
      <w:pPr>
        <w:adjustRightInd w:val="0"/>
        <w:snapToGrid w:val="0"/>
        <w:spacing w:line="360" w:lineRule="auto"/>
        <w:jc w:val="center"/>
        <w:outlineLvl w:val="2"/>
        <w:rPr>
          <w:rFonts w:hint="eastAsia" w:hAnsi="宋体" w:cs="宋体"/>
          <w:b/>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A6439"/>
    <w:rsid w:val="05077E49"/>
    <w:rsid w:val="054461F7"/>
    <w:rsid w:val="063E3EB1"/>
    <w:rsid w:val="066F6C08"/>
    <w:rsid w:val="06CD4A97"/>
    <w:rsid w:val="07F4629C"/>
    <w:rsid w:val="08A74FEC"/>
    <w:rsid w:val="0A92015F"/>
    <w:rsid w:val="0C476268"/>
    <w:rsid w:val="0EC52FA7"/>
    <w:rsid w:val="111112AF"/>
    <w:rsid w:val="16F0774B"/>
    <w:rsid w:val="17B93114"/>
    <w:rsid w:val="18040E4A"/>
    <w:rsid w:val="196A5004"/>
    <w:rsid w:val="1A4F1698"/>
    <w:rsid w:val="1C020BB8"/>
    <w:rsid w:val="1FB00ACC"/>
    <w:rsid w:val="200A1D5E"/>
    <w:rsid w:val="22653995"/>
    <w:rsid w:val="242104E5"/>
    <w:rsid w:val="244D4AED"/>
    <w:rsid w:val="249130DC"/>
    <w:rsid w:val="262C26C6"/>
    <w:rsid w:val="27750BB6"/>
    <w:rsid w:val="292224D7"/>
    <w:rsid w:val="292B4CAD"/>
    <w:rsid w:val="2A523030"/>
    <w:rsid w:val="2C34479A"/>
    <w:rsid w:val="2CF15B58"/>
    <w:rsid w:val="2D311246"/>
    <w:rsid w:val="30DD5F1B"/>
    <w:rsid w:val="31685C9D"/>
    <w:rsid w:val="321A5FD9"/>
    <w:rsid w:val="3257587D"/>
    <w:rsid w:val="32CD047A"/>
    <w:rsid w:val="358B565D"/>
    <w:rsid w:val="35F74D3A"/>
    <w:rsid w:val="387E21FF"/>
    <w:rsid w:val="39891269"/>
    <w:rsid w:val="3DAA26B8"/>
    <w:rsid w:val="3E2213AD"/>
    <w:rsid w:val="3EA94B38"/>
    <w:rsid w:val="3F1F3112"/>
    <w:rsid w:val="3FB82291"/>
    <w:rsid w:val="42516692"/>
    <w:rsid w:val="42F20403"/>
    <w:rsid w:val="446A445E"/>
    <w:rsid w:val="4710382E"/>
    <w:rsid w:val="496200DD"/>
    <w:rsid w:val="4C241CEC"/>
    <w:rsid w:val="4D200F2C"/>
    <w:rsid w:val="4DD368E7"/>
    <w:rsid w:val="4E2F6C8A"/>
    <w:rsid w:val="4E7C0A19"/>
    <w:rsid w:val="50EC0C3B"/>
    <w:rsid w:val="51904A82"/>
    <w:rsid w:val="51A25BE9"/>
    <w:rsid w:val="53DC2034"/>
    <w:rsid w:val="56A14E0E"/>
    <w:rsid w:val="56C06F76"/>
    <w:rsid w:val="5AF805E3"/>
    <w:rsid w:val="5B017815"/>
    <w:rsid w:val="5BBD1D08"/>
    <w:rsid w:val="5EA366B8"/>
    <w:rsid w:val="5F7B5734"/>
    <w:rsid w:val="5FBB42C1"/>
    <w:rsid w:val="60B151DC"/>
    <w:rsid w:val="61633229"/>
    <w:rsid w:val="63DB2C58"/>
    <w:rsid w:val="648C0687"/>
    <w:rsid w:val="65374930"/>
    <w:rsid w:val="66985075"/>
    <w:rsid w:val="67CA6AD6"/>
    <w:rsid w:val="6D7D43AD"/>
    <w:rsid w:val="6EDB35F4"/>
    <w:rsid w:val="6F500BEB"/>
    <w:rsid w:val="71AE01A6"/>
    <w:rsid w:val="724A5517"/>
    <w:rsid w:val="72F74FDB"/>
    <w:rsid w:val="74605325"/>
    <w:rsid w:val="74A51B4C"/>
    <w:rsid w:val="74F247A9"/>
    <w:rsid w:val="76D65A54"/>
    <w:rsid w:val="784E294A"/>
    <w:rsid w:val="798B4769"/>
    <w:rsid w:val="7C496088"/>
    <w:rsid w:val="7C631677"/>
    <w:rsid w:val="7FD71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jc w:val="center"/>
      <w:outlineLvl w:val="0"/>
    </w:pPr>
    <w:rPr>
      <w:b/>
      <w:kern w:val="44"/>
      <w:sz w:val="36"/>
      <w:szCs w:val="36"/>
    </w:rPr>
  </w:style>
  <w:style w:type="paragraph" w:styleId="4">
    <w:name w:val="heading 2"/>
    <w:basedOn w:val="1"/>
    <w:next w:val="1"/>
    <w:qFormat/>
    <w:uiPriority w:val="0"/>
    <w:pPr>
      <w:keepNext/>
      <w:keepLines/>
      <w:jc w:val="left"/>
      <w:outlineLvl w:val="1"/>
    </w:pPr>
    <w:rPr>
      <w:rFonts w:hAnsi="宋体"/>
      <w:b/>
      <w:sz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customStyle="1" w:styleId="2">
    <w:name w:val="_Style 3"/>
    <w:basedOn w:val="3"/>
    <w:next w:val="1"/>
    <w:qFormat/>
    <w:uiPriority w:val="0"/>
    <w:pPr>
      <w:keepLines w:val="0"/>
      <w:widowControl/>
      <w:spacing w:line="256" w:lineRule="auto"/>
      <w:jc w:val="left"/>
    </w:pPr>
    <w:rPr>
      <w:rFonts w:ascii="Calibri Light" w:hAnsi="Calibri Light"/>
      <w:color w:val="2E74B5"/>
      <w:kern w:val="0"/>
      <w:sz w:val="32"/>
      <w:szCs w:val="32"/>
    </w:rPr>
  </w:style>
  <w:style w:type="paragraph" w:styleId="5">
    <w:name w:val="Body Text"/>
    <w:basedOn w:val="1"/>
    <w:next w:val="1"/>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5"/>
    <w:next w:val="1"/>
    <w:unhideWhenUsed/>
    <w:qFormat/>
    <w:uiPriority w:val="99"/>
    <w:pPr>
      <w:ind w:firstLine="420" w:firstLineChars="1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2026-04-23T08:02:38Z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