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4D6E4">
      <w:pPr>
        <w:shd w:val="clear"/>
        <w:ind w:firstLine="2120" w:firstLineChars="400"/>
        <w:rPr>
          <w:rFonts w:hint="eastAsia" w:ascii="仿宋" w:hAnsi="仿宋" w:eastAsia="仿宋" w:cs="仿宋"/>
          <w:b/>
          <w:color w:val="auto"/>
          <w:spacing w:val="4"/>
          <w:sz w:val="52"/>
          <w:szCs w:val="48"/>
          <w:highlight w:val="none"/>
        </w:rPr>
      </w:pPr>
    </w:p>
    <w:p w14:paraId="5215383C">
      <w:pPr>
        <w:shd w:val="clear"/>
        <w:ind w:firstLine="2120" w:firstLineChars="400"/>
        <w:rPr>
          <w:rFonts w:hint="eastAsia" w:ascii="仿宋" w:hAnsi="仿宋" w:eastAsia="仿宋" w:cs="仿宋"/>
          <w:b/>
          <w:color w:val="auto"/>
          <w:spacing w:val="4"/>
          <w:sz w:val="52"/>
          <w:szCs w:val="48"/>
          <w:highlight w:val="none"/>
        </w:rPr>
      </w:pPr>
    </w:p>
    <w:p w14:paraId="0D0D7FD6">
      <w:pPr>
        <w:shd w:val="clear"/>
        <w:ind w:firstLine="2120" w:firstLineChars="400"/>
        <w:rPr>
          <w:rFonts w:hint="eastAsia" w:ascii="仿宋" w:hAnsi="仿宋" w:eastAsia="仿宋" w:cs="仿宋"/>
          <w:b/>
          <w:color w:val="auto"/>
          <w:spacing w:val="4"/>
          <w:sz w:val="52"/>
          <w:szCs w:val="48"/>
          <w:highlight w:val="none"/>
        </w:rPr>
      </w:pPr>
      <w:r>
        <w:rPr>
          <w:rFonts w:hint="eastAsia" w:ascii="仿宋" w:hAnsi="仿宋" w:eastAsia="仿宋" w:cs="仿宋"/>
          <w:b/>
          <w:color w:val="auto"/>
          <w:spacing w:val="4"/>
          <w:sz w:val="52"/>
          <w:szCs w:val="48"/>
          <w:highlight w:val="none"/>
        </w:rPr>
        <w:t>西安市中心医院货物类</w:t>
      </w:r>
    </w:p>
    <w:p w14:paraId="284012E9">
      <w:pPr>
        <w:shd w:val="clear"/>
        <w:ind w:firstLine="3233" w:firstLineChars="350"/>
        <w:rPr>
          <w:rFonts w:hint="eastAsia" w:ascii="仿宋" w:hAnsi="仿宋" w:eastAsia="仿宋" w:cs="仿宋"/>
          <w:b/>
          <w:color w:val="auto"/>
          <w:spacing w:val="-20"/>
          <w:sz w:val="96"/>
          <w:szCs w:val="58"/>
          <w:highlight w:val="none"/>
        </w:rPr>
      </w:pPr>
    </w:p>
    <w:p w14:paraId="109C90A5">
      <w:pPr>
        <w:shd w:val="clear"/>
        <w:jc w:val="center"/>
        <w:rPr>
          <w:rFonts w:hint="eastAsia" w:ascii="仿宋" w:hAnsi="仿宋" w:eastAsia="仿宋" w:cs="仿宋"/>
          <w:color w:val="auto"/>
          <w:sz w:val="28"/>
          <w:szCs w:val="30"/>
          <w:highlight w:val="none"/>
        </w:rPr>
      </w:pPr>
      <w:r>
        <w:rPr>
          <w:rFonts w:hint="eastAsia" w:ascii="仿宋" w:hAnsi="仿宋" w:eastAsia="仿宋" w:cs="仿宋"/>
          <w:b/>
          <w:color w:val="auto"/>
          <w:sz w:val="72"/>
          <w:szCs w:val="72"/>
          <w:highlight w:val="none"/>
        </w:rPr>
        <w:t xml:space="preserve"> 合 同</w:t>
      </w:r>
    </w:p>
    <w:p w14:paraId="27019E0F">
      <w:pPr>
        <w:shd w:val="clear"/>
        <w:ind w:firstLine="3080" w:firstLineChars="1100"/>
        <w:rPr>
          <w:rFonts w:hint="eastAsia" w:ascii="仿宋" w:hAnsi="仿宋" w:eastAsia="仿宋" w:cs="仿宋"/>
          <w:color w:val="auto"/>
          <w:sz w:val="28"/>
          <w:szCs w:val="30"/>
          <w:highlight w:val="none"/>
        </w:rPr>
      </w:pPr>
    </w:p>
    <w:p w14:paraId="07D0F6C3">
      <w:pPr>
        <w:shd w:val="clear"/>
        <w:ind w:firstLine="3080" w:firstLineChars="1100"/>
        <w:rPr>
          <w:rFonts w:hint="eastAsia" w:ascii="仿宋" w:hAnsi="仿宋" w:eastAsia="仿宋" w:cs="仿宋"/>
          <w:color w:val="auto"/>
          <w:sz w:val="28"/>
          <w:szCs w:val="30"/>
          <w:highlight w:val="none"/>
        </w:rPr>
      </w:pPr>
    </w:p>
    <w:p w14:paraId="3C67E695">
      <w:pPr>
        <w:shd w:val="clear"/>
        <w:ind w:firstLine="3080" w:firstLineChars="1100"/>
        <w:rPr>
          <w:rFonts w:hint="eastAsia" w:ascii="仿宋" w:hAnsi="仿宋" w:eastAsia="仿宋" w:cs="仿宋"/>
          <w:color w:val="auto"/>
          <w:sz w:val="28"/>
          <w:szCs w:val="30"/>
          <w:highlight w:val="none"/>
          <w:u w:val="single"/>
        </w:rPr>
      </w:pPr>
      <w:r>
        <w:rPr>
          <w:rFonts w:hint="eastAsia" w:ascii="仿宋" w:hAnsi="仿宋" w:eastAsia="仿宋" w:cs="仿宋"/>
          <w:color w:val="auto"/>
          <w:sz w:val="28"/>
          <w:szCs w:val="30"/>
          <w:highlight w:val="none"/>
        </w:rPr>
        <w:t>项目名称：</w:t>
      </w:r>
      <w:r>
        <w:rPr>
          <w:rFonts w:hint="eastAsia" w:ascii="仿宋" w:hAnsi="仿宋" w:eastAsia="仿宋" w:cs="仿宋"/>
          <w:color w:val="auto"/>
          <w:sz w:val="28"/>
          <w:szCs w:val="30"/>
          <w:highlight w:val="none"/>
          <w:u w:val="single"/>
        </w:rPr>
        <w:t xml:space="preserve">            </w:t>
      </w:r>
    </w:p>
    <w:p w14:paraId="4DD33362">
      <w:pPr>
        <w:shd w:val="clear"/>
        <w:ind w:firstLine="3080" w:firstLineChars="1100"/>
        <w:rPr>
          <w:rFonts w:hint="eastAsia" w:ascii="仿宋" w:hAnsi="仿宋" w:eastAsia="仿宋" w:cs="仿宋"/>
          <w:color w:val="auto"/>
          <w:sz w:val="28"/>
          <w:szCs w:val="30"/>
          <w:highlight w:val="none"/>
        </w:rPr>
      </w:pPr>
      <w:r>
        <w:rPr>
          <w:rFonts w:hint="eastAsia" w:ascii="仿宋" w:hAnsi="仿宋" w:eastAsia="仿宋" w:cs="仿宋"/>
          <w:color w:val="auto"/>
          <w:sz w:val="28"/>
          <w:szCs w:val="30"/>
          <w:highlight w:val="none"/>
        </w:rPr>
        <w:t>项目编号：</w:t>
      </w:r>
      <w:r>
        <w:rPr>
          <w:rFonts w:hint="eastAsia" w:ascii="仿宋" w:hAnsi="仿宋" w:eastAsia="仿宋" w:cs="仿宋"/>
          <w:color w:val="auto"/>
          <w:sz w:val="28"/>
          <w:szCs w:val="30"/>
          <w:highlight w:val="none"/>
          <w:u w:val="single"/>
        </w:rPr>
        <w:t xml:space="preserve">            </w:t>
      </w:r>
    </w:p>
    <w:p w14:paraId="106A420C">
      <w:pPr>
        <w:shd w:val="clear"/>
        <w:jc w:val="both"/>
        <w:rPr>
          <w:rFonts w:hint="eastAsia" w:ascii="仿宋" w:hAnsi="仿宋" w:eastAsia="仿宋" w:cs="仿宋"/>
          <w:color w:val="auto"/>
          <w:sz w:val="28"/>
          <w:szCs w:val="30"/>
          <w:highlight w:val="none"/>
        </w:rPr>
      </w:pPr>
    </w:p>
    <w:p w14:paraId="6BBECE82">
      <w:pPr>
        <w:shd w:val="clear"/>
        <w:jc w:val="center"/>
        <w:rPr>
          <w:rFonts w:hint="eastAsia" w:ascii="仿宋" w:hAnsi="仿宋" w:eastAsia="仿宋" w:cs="仿宋"/>
          <w:color w:val="auto"/>
          <w:sz w:val="28"/>
          <w:szCs w:val="30"/>
          <w:highlight w:val="none"/>
        </w:rPr>
      </w:pPr>
    </w:p>
    <w:p w14:paraId="290A29C9">
      <w:pPr>
        <w:shd w:val="clear"/>
        <w:ind w:firstLine="3000" w:firstLineChars="10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甲  方：西安市中心医院</w:t>
      </w:r>
    </w:p>
    <w:p w14:paraId="642467BD">
      <w:pPr>
        <w:shd w:val="clear"/>
        <w:tabs>
          <w:tab w:val="left" w:pos="480"/>
        </w:tabs>
        <w:ind w:firstLine="3000" w:firstLineChars="10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乙  方：</w:t>
      </w:r>
    </w:p>
    <w:p w14:paraId="6F1A9E5A">
      <w:pPr>
        <w:shd w:val="clear"/>
        <w:jc w:val="left"/>
        <w:rPr>
          <w:rFonts w:hint="eastAsia" w:ascii="仿宋" w:hAnsi="仿宋" w:eastAsia="仿宋" w:cs="仿宋"/>
          <w:color w:val="auto"/>
          <w:sz w:val="30"/>
          <w:szCs w:val="30"/>
          <w:highlight w:val="none"/>
        </w:rPr>
      </w:pPr>
    </w:p>
    <w:p w14:paraId="1A1F8E78">
      <w:pPr>
        <w:shd w:val="clear"/>
        <w:rPr>
          <w:rFonts w:hint="eastAsia" w:ascii="仿宋" w:hAnsi="仿宋" w:eastAsia="仿宋" w:cs="仿宋"/>
          <w:color w:val="auto"/>
          <w:sz w:val="28"/>
          <w:szCs w:val="30"/>
          <w:highlight w:val="none"/>
        </w:rPr>
      </w:pPr>
      <w:r>
        <w:rPr>
          <w:rFonts w:hint="eastAsia" w:ascii="仿宋" w:hAnsi="仿宋" w:eastAsia="仿宋" w:cs="仿宋"/>
          <w:color w:val="auto"/>
          <w:sz w:val="32"/>
          <w:szCs w:val="32"/>
          <w:highlight w:val="none"/>
        </w:rPr>
        <w:t xml:space="preserve">   </w:t>
      </w:r>
    </w:p>
    <w:p w14:paraId="2EB877B7">
      <w:pPr>
        <w:shd w:val="clear"/>
        <w:ind w:firstLine="3520" w:firstLineChars="11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二O二    年  月</w:t>
      </w:r>
    </w:p>
    <w:p w14:paraId="09C3769E">
      <w:pPr>
        <w:shd w:val="clear"/>
        <w:ind w:firstLine="640" w:firstLineChars="200"/>
        <w:rPr>
          <w:rFonts w:hint="eastAsia" w:ascii="仿宋" w:hAnsi="仿宋" w:eastAsia="仿宋" w:cs="仿宋"/>
          <w:color w:val="auto"/>
          <w:sz w:val="32"/>
          <w:szCs w:val="32"/>
          <w:highlight w:val="none"/>
        </w:rPr>
      </w:pPr>
    </w:p>
    <w:p w14:paraId="70C369A4">
      <w:pPr>
        <w:shd w:val="clear"/>
        <w:rPr>
          <w:rFonts w:hint="eastAsia" w:ascii="仿宋" w:hAnsi="仿宋" w:eastAsia="仿宋" w:cs="仿宋"/>
          <w:color w:val="auto"/>
          <w:sz w:val="22"/>
          <w:szCs w:val="22"/>
          <w:highlight w:val="none"/>
        </w:rPr>
      </w:pPr>
    </w:p>
    <w:p w14:paraId="754EBE67">
      <w:pPr>
        <w:shd w:val="clear"/>
        <w:rPr>
          <w:rFonts w:hint="eastAsia" w:ascii="仿宋" w:hAnsi="仿宋" w:eastAsia="仿宋" w:cs="仿宋"/>
          <w:color w:val="auto"/>
          <w:sz w:val="22"/>
          <w:szCs w:val="22"/>
          <w:highlight w:val="none"/>
        </w:rPr>
      </w:pPr>
    </w:p>
    <w:p w14:paraId="2E490C29">
      <w:pPr>
        <w:shd w:val="clear"/>
        <w:rPr>
          <w:rFonts w:hint="eastAsia" w:ascii="仿宋" w:hAnsi="仿宋" w:eastAsia="仿宋" w:cs="仿宋"/>
          <w:color w:val="auto"/>
          <w:sz w:val="22"/>
          <w:szCs w:val="22"/>
          <w:highlight w:val="none"/>
        </w:rPr>
      </w:pPr>
    </w:p>
    <w:p w14:paraId="570684FE">
      <w:pPr>
        <w:shd w:val="clear"/>
        <w:rPr>
          <w:rFonts w:hint="eastAsia" w:ascii="仿宋" w:hAnsi="仿宋" w:eastAsia="仿宋" w:cs="仿宋"/>
          <w:color w:val="auto"/>
          <w:sz w:val="22"/>
          <w:szCs w:val="22"/>
          <w:highlight w:val="none"/>
        </w:rPr>
      </w:pPr>
    </w:p>
    <w:p w14:paraId="5992EC6B">
      <w:pPr>
        <w:shd w:val="clear"/>
        <w:rPr>
          <w:rFonts w:hint="eastAsia" w:ascii="仿宋" w:hAnsi="仿宋" w:eastAsia="仿宋" w:cs="仿宋"/>
          <w:color w:val="auto"/>
          <w:sz w:val="22"/>
          <w:szCs w:val="22"/>
          <w:highlight w:val="none"/>
        </w:rPr>
      </w:pPr>
    </w:p>
    <w:p w14:paraId="395877AB">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甲方：西安市中心医院 </w:t>
      </w:r>
    </w:p>
    <w:p w14:paraId="14DB76C3">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乙方：XXXXXXXXXXXXXX</w:t>
      </w:r>
    </w:p>
    <w:p w14:paraId="6D9D5A5E">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甲方就甲方所需货物，按照政府采购程序组织</w:t>
      </w:r>
      <w:r>
        <w:rPr>
          <w:rFonts w:hint="eastAsia" w:ascii="仿宋" w:hAnsi="仿宋" w:eastAsia="仿宋" w:cs="仿宋"/>
          <w:color w:val="auto"/>
          <w:sz w:val="24"/>
          <w:szCs w:val="24"/>
          <w:highlight w:val="none"/>
          <w:u w:val="single"/>
          <w:lang w:val="en-US" w:eastAsia="zh-CN"/>
        </w:rPr>
        <w:t>竞争性谈判</w:t>
      </w:r>
      <w:r>
        <w:rPr>
          <w:rFonts w:hint="eastAsia" w:ascii="仿宋" w:hAnsi="仿宋" w:eastAsia="仿宋" w:cs="仿宋"/>
          <w:color w:val="auto"/>
          <w:sz w:val="24"/>
          <w:szCs w:val="24"/>
          <w:highlight w:val="none"/>
        </w:rPr>
        <w:t>，确定乙方为成交供应商。依据《中华人民共和国政府采购法》、《中华人民共和国招标投标法》、《中华人民共和国民法典》，经甲、乙双方协商、确认，达成如下条款。</w:t>
      </w:r>
    </w:p>
    <w:p w14:paraId="1BB311EB">
      <w:pPr>
        <w:shd w:val="clear"/>
        <w:tabs>
          <w:tab w:val="left" w:pos="480"/>
        </w:tabs>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一、合同标的物内容及数量</w:t>
      </w:r>
    </w:p>
    <w:tbl>
      <w:tblPr>
        <w:tblStyle w:val="3"/>
        <w:tblW w:w="9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274"/>
        <w:gridCol w:w="1188"/>
        <w:gridCol w:w="1232"/>
        <w:gridCol w:w="1078"/>
        <w:gridCol w:w="925"/>
        <w:gridCol w:w="1160"/>
        <w:gridCol w:w="1102"/>
        <w:gridCol w:w="961"/>
      </w:tblGrid>
      <w:tr w14:paraId="797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92" w:type="dxa"/>
            <w:noWrap w:val="0"/>
            <w:vAlign w:val="center"/>
          </w:tcPr>
          <w:p w14:paraId="7723F779">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274" w:type="dxa"/>
            <w:noWrap w:val="0"/>
            <w:vAlign w:val="center"/>
          </w:tcPr>
          <w:p w14:paraId="6C81B618">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1188" w:type="dxa"/>
            <w:noWrap w:val="0"/>
            <w:vAlign w:val="center"/>
          </w:tcPr>
          <w:p w14:paraId="65104832">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规格参数</w:t>
            </w:r>
          </w:p>
        </w:tc>
        <w:tc>
          <w:tcPr>
            <w:tcW w:w="1232" w:type="dxa"/>
            <w:noWrap w:val="0"/>
            <w:vAlign w:val="center"/>
          </w:tcPr>
          <w:p w14:paraId="79B99571">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w:t>
            </w:r>
          </w:p>
          <w:p w14:paraId="0D97727E">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78" w:type="dxa"/>
            <w:noWrap w:val="0"/>
            <w:vAlign w:val="center"/>
          </w:tcPr>
          <w:p w14:paraId="0443E813">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计量</w:t>
            </w:r>
          </w:p>
          <w:p w14:paraId="58D5275D">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925" w:type="dxa"/>
            <w:noWrap w:val="0"/>
            <w:vAlign w:val="center"/>
          </w:tcPr>
          <w:p w14:paraId="5FDE9994">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160" w:type="dxa"/>
            <w:noWrap w:val="0"/>
            <w:vAlign w:val="center"/>
          </w:tcPr>
          <w:p w14:paraId="6B4F2D98">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p w14:paraId="60F03CA6">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1102" w:type="dxa"/>
            <w:noWrap w:val="0"/>
            <w:vAlign w:val="center"/>
          </w:tcPr>
          <w:p w14:paraId="3162C9BE">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金额</w:t>
            </w:r>
          </w:p>
          <w:p w14:paraId="6233A484">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961" w:type="dxa"/>
            <w:noWrap w:val="0"/>
            <w:vAlign w:val="center"/>
          </w:tcPr>
          <w:p w14:paraId="232FDD25">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BC5A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92" w:type="dxa"/>
            <w:noWrap w:val="0"/>
            <w:vAlign w:val="center"/>
          </w:tcPr>
          <w:p w14:paraId="7E43FF65">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4" w:type="dxa"/>
            <w:noWrap w:val="0"/>
            <w:vAlign w:val="center"/>
          </w:tcPr>
          <w:p w14:paraId="3A25834E">
            <w:pPr>
              <w:shd w:val="clear"/>
              <w:tabs>
                <w:tab w:val="left" w:pos="480"/>
              </w:tabs>
              <w:spacing w:line="360" w:lineRule="auto"/>
              <w:jc w:val="center"/>
              <w:rPr>
                <w:rFonts w:hint="eastAsia" w:ascii="仿宋" w:hAnsi="仿宋" w:eastAsia="仿宋" w:cs="仿宋"/>
                <w:color w:val="auto"/>
                <w:sz w:val="24"/>
                <w:szCs w:val="24"/>
                <w:highlight w:val="none"/>
              </w:rPr>
            </w:pPr>
          </w:p>
        </w:tc>
        <w:tc>
          <w:tcPr>
            <w:tcW w:w="1188" w:type="dxa"/>
            <w:noWrap w:val="0"/>
            <w:vAlign w:val="top"/>
          </w:tcPr>
          <w:p w14:paraId="3B92B0CE">
            <w:pPr>
              <w:shd w:val="clear"/>
              <w:tabs>
                <w:tab w:val="left" w:pos="480"/>
              </w:tabs>
              <w:spacing w:line="360" w:lineRule="auto"/>
              <w:jc w:val="center"/>
              <w:rPr>
                <w:rFonts w:hint="eastAsia" w:ascii="仿宋" w:hAnsi="仿宋" w:eastAsia="仿宋" w:cs="仿宋"/>
                <w:color w:val="auto"/>
                <w:sz w:val="24"/>
                <w:szCs w:val="24"/>
                <w:highlight w:val="none"/>
              </w:rPr>
            </w:pPr>
          </w:p>
        </w:tc>
        <w:tc>
          <w:tcPr>
            <w:tcW w:w="1232" w:type="dxa"/>
            <w:noWrap w:val="0"/>
            <w:vAlign w:val="top"/>
          </w:tcPr>
          <w:p w14:paraId="0C500022">
            <w:pPr>
              <w:shd w:val="clear"/>
              <w:tabs>
                <w:tab w:val="left" w:pos="480"/>
              </w:tabs>
              <w:spacing w:line="360" w:lineRule="auto"/>
              <w:jc w:val="center"/>
              <w:rPr>
                <w:rFonts w:hint="eastAsia" w:ascii="仿宋" w:hAnsi="仿宋" w:eastAsia="仿宋" w:cs="仿宋"/>
                <w:color w:val="auto"/>
                <w:sz w:val="24"/>
                <w:szCs w:val="24"/>
                <w:highlight w:val="none"/>
              </w:rPr>
            </w:pPr>
          </w:p>
        </w:tc>
        <w:tc>
          <w:tcPr>
            <w:tcW w:w="1078" w:type="dxa"/>
            <w:noWrap w:val="0"/>
            <w:vAlign w:val="center"/>
          </w:tcPr>
          <w:p w14:paraId="1BE01643">
            <w:pPr>
              <w:shd w:val="clear"/>
              <w:tabs>
                <w:tab w:val="left" w:pos="480"/>
              </w:tabs>
              <w:spacing w:line="360" w:lineRule="auto"/>
              <w:jc w:val="center"/>
              <w:rPr>
                <w:rFonts w:hint="eastAsia" w:ascii="仿宋" w:hAnsi="仿宋" w:eastAsia="仿宋" w:cs="仿宋"/>
                <w:color w:val="auto"/>
                <w:sz w:val="24"/>
                <w:szCs w:val="24"/>
                <w:highlight w:val="none"/>
              </w:rPr>
            </w:pPr>
          </w:p>
        </w:tc>
        <w:tc>
          <w:tcPr>
            <w:tcW w:w="925" w:type="dxa"/>
            <w:noWrap w:val="0"/>
            <w:vAlign w:val="top"/>
          </w:tcPr>
          <w:p w14:paraId="09704797">
            <w:pPr>
              <w:shd w:val="clear"/>
              <w:tabs>
                <w:tab w:val="left" w:pos="480"/>
              </w:tabs>
              <w:spacing w:line="360" w:lineRule="auto"/>
              <w:jc w:val="center"/>
              <w:rPr>
                <w:rFonts w:hint="eastAsia" w:ascii="仿宋" w:hAnsi="仿宋" w:eastAsia="仿宋" w:cs="仿宋"/>
                <w:color w:val="auto"/>
                <w:sz w:val="24"/>
                <w:szCs w:val="24"/>
                <w:highlight w:val="none"/>
              </w:rPr>
            </w:pPr>
          </w:p>
        </w:tc>
        <w:tc>
          <w:tcPr>
            <w:tcW w:w="1160" w:type="dxa"/>
            <w:noWrap w:val="0"/>
            <w:vAlign w:val="center"/>
          </w:tcPr>
          <w:p w14:paraId="7F1D363D">
            <w:pPr>
              <w:shd w:val="clear"/>
              <w:tabs>
                <w:tab w:val="left" w:pos="480"/>
              </w:tabs>
              <w:spacing w:line="360" w:lineRule="auto"/>
              <w:jc w:val="center"/>
              <w:rPr>
                <w:rFonts w:hint="eastAsia" w:ascii="仿宋" w:hAnsi="仿宋" w:eastAsia="仿宋" w:cs="仿宋"/>
                <w:color w:val="auto"/>
                <w:sz w:val="24"/>
                <w:szCs w:val="24"/>
                <w:highlight w:val="none"/>
              </w:rPr>
            </w:pPr>
          </w:p>
        </w:tc>
        <w:tc>
          <w:tcPr>
            <w:tcW w:w="1102" w:type="dxa"/>
            <w:noWrap w:val="0"/>
            <w:vAlign w:val="top"/>
          </w:tcPr>
          <w:p w14:paraId="739ACF8F">
            <w:pPr>
              <w:shd w:val="clear"/>
              <w:tabs>
                <w:tab w:val="left" w:pos="480"/>
              </w:tabs>
              <w:spacing w:line="360" w:lineRule="auto"/>
              <w:jc w:val="center"/>
              <w:rPr>
                <w:rFonts w:hint="eastAsia" w:ascii="仿宋" w:hAnsi="仿宋" w:eastAsia="仿宋" w:cs="仿宋"/>
                <w:color w:val="auto"/>
                <w:sz w:val="24"/>
                <w:szCs w:val="24"/>
                <w:highlight w:val="none"/>
              </w:rPr>
            </w:pPr>
          </w:p>
        </w:tc>
        <w:tc>
          <w:tcPr>
            <w:tcW w:w="961" w:type="dxa"/>
            <w:noWrap w:val="0"/>
            <w:vAlign w:val="top"/>
          </w:tcPr>
          <w:p w14:paraId="23C86F76">
            <w:pPr>
              <w:shd w:val="clear"/>
              <w:tabs>
                <w:tab w:val="left" w:pos="480"/>
              </w:tabs>
              <w:spacing w:line="360" w:lineRule="auto"/>
              <w:jc w:val="center"/>
              <w:rPr>
                <w:rFonts w:hint="eastAsia" w:ascii="仿宋" w:hAnsi="仿宋" w:eastAsia="仿宋" w:cs="仿宋"/>
                <w:color w:val="auto"/>
                <w:sz w:val="24"/>
                <w:szCs w:val="24"/>
                <w:highlight w:val="none"/>
              </w:rPr>
            </w:pPr>
          </w:p>
        </w:tc>
      </w:tr>
      <w:tr w14:paraId="08F7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92" w:type="dxa"/>
            <w:noWrap w:val="0"/>
            <w:vAlign w:val="center"/>
          </w:tcPr>
          <w:p w14:paraId="29C644E2">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4" w:type="dxa"/>
            <w:noWrap w:val="0"/>
            <w:vAlign w:val="center"/>
          </w:tcPr>
          <w:p w14:paraId="39F907AC">
            <w:pPr>
              <w:shd w:val="clear"/>
              <w:tabs>
                <w:tab w:val="left" w:pos="480"/>
              </w:tabs>
              <w:spacing w:line="360" w:lineRule="auto"/>
              <w:jc w:val="center"/>
              <w:rPr>
                <w:rFonts w:hint="eastAsia" w:ascii="仿宋" w:hAnsi="仿宋" w:eastAsia="仿宋" w:cs="仿宋"/>
                <w:color w:val="auto"/>
                <w:sz w:val="24"/>
                <w:szCs w:val="24"/>
                <w:highlight w:val="none"/>
              </w:rPr>
            </w:pPr>
          </w:p>
        </w:tc>
        <w:tc>
          <w:tcPr>
            <w:tcW w:w="1188" w:type="dxa"/>
            <w:noWrap w:val="0"/>
            <w:vAlign w:val="top"/>
          </w:tcPr>
          <w:p w14:paraId="203D8EC9">
            <w:pPr>
              <w:shd w:val="clear"/>
              <w:tabs>
                <w:tab w:val="left" w:pos="480"/>
              </w:tabs>
              <w:spacing w:line="360" w:lineRule="auto"/>
              <w:jc w:val="center"/>
              <w:rPr>
                <w:rFonts w:hint="eastAsia" w:ascii="仿宋" w:hAnsi="仿宋" w:eastAsia="仿宋" w:cs="仿宋"/>
                <w:color w:val="auto"/>
                <w:sz w:val="24"/>
                <w:szCs w:val="24"/>
                <w:highlight w:val="none"/>
              </w:rPr>
            </w:pPr>
          </w:p>
        </w:tc>
        <w:tc>
          <w:tcPr>
            <w:tcW w:w="1232" w:type="dxa"/>
            <w:noWrap w:val="0"/>
            <w:vAlign w:val="top"/>
          </w:tcPr>
          <w:p w14:paraId="65511018">
            <w:pPr>
              <w:shd w:val="clear"/>
              <w:tabs>
                <w:tab w:val="left" w:pos="480"/>
              </w:tabs>
              <w:spacing w:line="360" w:lineRule="auto"/>
              <w:jc w:val="center"/>
              <w:rPr>
                <w:rFonts w:hint="eastAsia" w:ascii="仿宋" w:hAnsi="仿宋" w:eastAsia="仿宋" w:cs="仿宋"/>
                <w:color w:val="auto"/>
                <w:sz w:val="24"/>
                <w:szCs w:val="24"/>
                <w:highlight w:val="none"/>
              </w:rPr>
            </w:pPr>
          </w:p>
        </w:tc>
        <w:tc>
          <w:tcPr>
            <w:tcW w:w="1078" w:type="dxa"/>
            <w:noWrap w:val="0"/>
            <w:vAlign w:val="center"/>
          </w:tcPr>
          <w:p w14:paraId="157F2047">
            <w:pPr>
              <w:shd w:val="clear"/>
              <w:tabs>
                <w:tab w:val="left" w:pos="480"/>
              </w:tabs>
              <w:spacing w:line="360" w:lineRule="auto"/>
              <w:jc w:val="center"/>
              <w:rPr>
                <w:rFonts w:hint="eastAsia" w:ascii="仿宋" w:hAnsi="仿宋" w:eastAsia="仿宋" w:cs="仿宋"/>
                <w:color w:val="auto"/>
                <w:sz w:val="24"/>
                <w:szCs w:val="24"/>
                <w:highlight w:val="none"/>
              </w:rPr>
            </w:pPr>
          </w:p>
        </w:tc>
        <w:tc>
          <w:tcPr>
            <w:tcW w:w="925" w:type="dxa"/>
            <w:noWrap w:val="0"/>
            <w:vAlign w:val="top"/>
          </w:tcPr>
          <w:p w14:paraId="1CBD8FA1">
            <w:pPr>
              <w:shd w:val="clear"/>
              <w:tabs>
                <w:tab w:val="left" w:pos="480"/>
              </w:tabs>
              <w:spacing w:line="360" w:lineRule="auto"/>
              <w:jc w:val="center"/>
              <w:rPr>
                <w:rFonts w:hint="eastAsia" w:ascii="仿宋" w:hAnsi="仿宋" w:eastAsia="仿宋" w:cs="仿宋"/>
                <w:color w:val="auto"/>
                <w:sz w:val="24"/>
                <w:szCs w:val="24"/>
                <w:highlight w:val="none"/>
              </w:rPr>
            </w:pPr>
          </w:p>
        </w:tc>
        <w:tc>
          <w:tcPr>
            <w:tcW w:w="1160" w:type="dxa"/>
            <w:noWrap w:val="0"/>
            <w:vAlign w:val="center"/>
          </w:tcPr>
          <w:p w14:paraId="73EC5B11">
            <w:pPr>
              <w:shd w:val="clear"/>
              <w:tabs>
                <w:tab w:val="left" w:pos="480"/>
              </w:tabs>
              <w:spacing w:line="360" w:lineRule="auto"/>
              <w:jc w:val="center"/>
              <w:rPr>
                <w:rFonts w:hint="eastAsia" w:ascii="仿宋" w:hAnsi="仿宋" w:eastAsia="仿宋" w:cs="仿宋"/>
                <w:color w:val="auto"/>
                <w:sz w:val="24"/>
                <w:szCs w:val="24"/>
                <w:highlight w:val="none"/>
              </w:rPr>
            </w:pPr>
          </w:p>
        </w:tc>
        <w:tc>
          <w:tcPr>
            <w:tcW w:w="1102" w:type="dxa"/>
            <w:noWrap w:val="0"/>
            <w:vAlign w:val="top"/>
          </w:tcPr>
          <w:p w14:paraId="5540EFB7">
            <w:pPr>
              <w:shd w:val="clear"/>
              <w:tabs>
                <w:tab w:val="left" w:pos="480"/>
              </w:tabs>
              <w:spacing w:line="360" w:lineRule="auto"/>
              <w:jc w:val="center"/>
              <w:rPr>
                <w:rFonts w:hint="eastAsia" w:ascii="仿宋" w:hAnsi="仿宋" w:eastAsia="仿宋" w:cs="仿宋"/>
                <w:color w:val="auto"/>
                <w:sz w:val="24"/>
                <w:szCs w:val="24"/>
                <w:highlight w:val="none"/>
              </w:rPr>
            </w:pPr>
          </w:p>
        </w:tc>
        <w:tc>
          <w:tcPr>
            <w:tcW w:w="961" w:type="dxa"/>
            <w:noWrap w:val="0"/>
            <w:vAlign w:val="top"/>
          </w:tcPr>
          <w:p w14:paraId="43198016">
            <w:pPr>
              <w:shd w:val="clear"/>
              <w:tabs>
                <w:tab w:val="left" w:pos="480"/>
              </w:tabs>
              <w:spacing w:line="360" w:lineRule="auto"/>
              <w:jc w:val="center"/>
              <w:rPr>
                <w:rFonts w:hint="eastAsia" w:ascii="仿宋" w:hAnsi="仿宋" w:eastAsia="仿宋" w:cs="仿宋"/>
                <w:color w:val="auto"/>
                <w:sz w:val="24"/>
                <w:szCs w:val="24"/>
                <w:highlight w:val="none"/>
              </w:rPr>
            </w:pPr>
          </w:p>
        </w:tc>
      </w:tr>
      <w:tr w14:paraId="57380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712" w:type="dxa"/>
            <w:gridSpan w:val="9"/>
            <w:noWrap w:val="0"/>
            <w:vAlign w:val="center"/>
          </w:tcPr>
          <w:p w14:paraId="370D608A">
            <w:pPr>
              <w:shd w:val="clea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单价</w:t>
            </w:r>
            <w:r>
              <w:rPr>
                <w:rFonts w:hint="eastAsia" w:ascii="仿宋" w:hAnsi="仿宋" w:eastAsia="仿宋" w:cs="仿宋"/>
                <w:color w:val="auto"/>
                <w:sz w:val="24"/>
                <w:szCs w:val="24"/>
                <w:highlight w:val="none"/>
              </w:rPr>
              <w:t>合计人民币（大写）：</w:t>
            </w:r>
          </w:p>
          <w:p w14:paraId="108D37E9">
            <w:pPr>
              <w:shd w:val="clea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w:t>
            </w:r>
          </w:p>
        </w:tc>
      </w:tr>
      <w:tr w14:paraId="4D08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92" w:type="dxa"/>
            <w:noWrap w:val="0"/>
            <w:vAlign w:val="center"/>
          </w:tcPr>
          <w:p w14:paraId="5EBAE9A0">
            <w:pPr>
              <w:shd w:val="clear"/>
              <w:tabs>
                <w:tab w:val="left" w:pos="480"/>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tc>
        <w:tc>
          <w:tcPr>
            <w:tcW w:w="8920" w:type="dxa"/>
            <w:gridSpan w:val="8"/>
            <w:noWrap w:val="0"/>
            <w:vAlign w:val="center"/>
          </w:tcPr>
          <w:p w14:paraId="574E6781">
            <w:pPr>
              <w:shd w:val="clear"/>
              <w:tabs>
                <w:tab w:val="left" w:pos="480"/>
              </w:tabs>
              <w:spacing w:line="360" w:lineRule="auto"/>
              <w:jc w:val="center"/>
              <w:rPr>
                <w:rFonts w:hint="eastAsia" w:ascii="仿宋" w:hAnsi="仿宋" w:eastAsia="仿宋" w:cs="仿宋"/>
                <w:color w:val="auto"/>
                <w:sz w:val="24"/>
                <w:szCs w:val="24"/>
                <w:highlight w:val="none"/>
              </w:rPr>
            </w:pPr>
          </w:p>
        </w:tc>
      </w:tr>
    </w:tbl>
    <w:p w14:paraId="47663ADB">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二、合同价款</w:t>
      </w:r>
    </w:p>
    <w:p w14:paraId="1AD4B181">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w:t>
      </w:r>
      <w:r>
        <w:rPr>
          <w:rFonts w:hint="eastAsia" w:ascii="仿宋" w:hAnsi="仿宋" w:eastAsia="仿宋" w:cs="仿宋"/>
          <w:color w:val="auto"/>
          <w:sz w:val="24"/>
          <w:szCs w:val="24"/>
          <w:highlight w:val="none"/>
          <w:lang w:eastAsia="zh-CN"/>
        </w:rPr>
        <w:t>单价合计</w:t>
      </w:r>
      <w:r>
        <w:rPr>
          <w:rFonts w:hint="eastAsia" w:ascii="仿宋" w:hAnsi="仿宋" w:eastAsia="仿宋" w:cs="仿宋"/>
          <w:color w:val="auto"/>
          <w:sz w:val="24"/>
          <w:szCs w:val="24"/>
          <w:highlight w:val="none"/>
        </w:rPr>
        <w:t>为人民币（大写）                   元整 （￥            ）。</w:t>
      </w:r>
    </w:p>
    <w:p w14:paraId="2FA7B0C6">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w:t>
      </w:r>
      <w:r>
        <w:rPr>
          <w:rFonts w:hint="eastAsia" w:ascii="仿宋" w:hAnsi="仿宋" w:eastAsia="仿宋" w:cs="仿宋"/>
          <w:color w:val="auto"/>
          <w:sz w:val="24"/>
          <w:szCs w:val="24"/>
          <w:highlight w:val="none"/>
          <w:lang w:eastAsia="zh-CN"/>
        </w:rPr>
        <w:t>单价</w:t>
      </w:r>
      <w:r>
        <w:rPr>
          <w:rFonts w:hint="eastAsia" w:ascii="仿宋" w:hAnsi="仿宋" w:eastAsia="仿宋" w:cs="仿宋"/>
          <w:color w:val="auto"/>
          <w:sz w:val="24"/>
          <w:szCs w:val="24"/>
          <w:highlight w:val="none"/>
        </w:rPr>
        <w:t>包括：税费、货物费、运输费（含保险费）及其它乙方履行合同义务所需的全部费用。本合同执行期间合同</w:t>
      </w:r>
      <w:r>
        <w:rPr>
          <w:rFonts w:hint="eastAsia" w:ascii="仿宋" w:hAnsi="仿宋" w:eastAsia="仿宋" w:cs="仿宋"/>
          <w:color w:val="auto"/>
          <w:sz w:val="24"/>
          <w:szCs w:val="24"/>
          <w:highlight w:val="none"/>
          <w:lang w:eastAsia="zh-CN"/>
        </w:rPr>
        <w:t>单</w:t>
      </w:r>
      <w:r>
        <w:rPr>
          <w:rFonts w:hint="eastAsia" w:ascii="仿宋" w:hAnsi="仿宋" w:eastAsia="仿宋" w:cs="仿宋"/>
          <w:color w:val="auto"/>
          <w:sz w:val="24"/>
          <w:szCs w:val="24"/>
          <w:highlight w:val="none"/>
        </w:rPr>
        <w:t>价不变，甲方无须另向乙方支付本合同规定之外的其他任何费用。</w:t>
      </w:r>
    </w:p>
    <w:p w14:paraId="07D965B2">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三、款项结算</w:t>
      </w:r>
    </w:p>
    <w:p w14:paraId="5F9393D6">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以当月实际供货量据实结算，年度采购价不超过</w:t>
      </w:r>
      <w:r>
        <w:rPr>
          <w:rFonts w:hint="eastAsia" w:ascii="仿宋" w:hAnsi="仿宋" w:eastAsia="仿宋" w:cs="仿宋"/>
          <w:color w:val="auto"/>
          <w:sz w:val="24"/>
          <w:szCs w:val="24"/>
          <w:highlight w:val="none"/>
          <w:lang w:eastAsia="zh-CN"/>
        </w:rPr>
        <w:t>预算最高限价</w:t>
      </w:r>
      <w:r>
        <w:rPr>
          <w:rFonts w:hint="eastAsia" w:ascii="仿宋" w:hAnsi="仿宋" w:eastAsia="仿宋" w:cs="仿宋"/>
          <w:color w:val="auto"/>
          <w:sz w:val="24"/>
          <w:szCs w:val="24"/>
          <w:highlight w:val="none"/>
          <w:u w:val="single"/>
          <w:lang w:val="en-US" w:eastAsia="zh-CN"/>
        </w:rPr>
        <w:t>60</w:t>
      </w:r>
      <w:r>
        <w:rPr>
          <w:rFonts w:hint="eastAsia" w:ascii="仿宋" w:hAnsi="仿宋" w:eastAsia="仿宋" w:cs="仿宋"/>
          <w:color w:val="auto"/>
          <w:sz w:val="24"/>
          <w:szCs w:val="24"/>
          <w:highlight w:val="none"/>
        </w:rPr>
        <w:t>万元。</w:t>
      </w:r>
    </w:p>
    <w:p w14:paraId="51B12A58">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）支付方式：银行转帐。乙方保证其提供的账号准确无误，若在合同履行期间发生变更，乙方需及时书面通知甲方，否则由此产生的后果由乙方承担。</w:t>
      </w:r>
    </w:p>
    <w:p w14:paraId="42A624E8">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）结算方式：</w:t>
      </w: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每月供货后</w:t>
      </w:r>
      <w:r>
        <w:rPr>
          <w:rFonts w:hint="eastAsia" w:ascii="仿宋" w:hAnsi="仿宋" w:eastAsia="仿宋" w:cs="仿宋"/>
          <w:bCs/>
          <w:color w:val="auto"/>
          <w:sz w:val="24"/>
          <w:szCs w:val="24"/>
          <w:highlight w:val="none"/>
        </w:rPr>
        <w:t>持</w:t>
      </w:r>
      <w:r>
        <w:rPr>
          <w:rFonts w:hint="eastAsia" w:ascii="仿宋" w:hAnsi="仿宋" w:eastAsia="仿宋" w:cs="仿宋"/>
          <w:bCs/>
          <w:color w:val="auto"/>
          <w:sz w:val="24"/>
          <w:szCs w:val="24"/>
          <w:highlight w:val="none"/>
          <w:lang w:val="en-US" w:eastAsia="zh-CN"/>
        </w:rPr>
        <w:t>等额合规</w:t>
      </w:r>
      <w:r>
        <w:rPr>
          <w:rFonts w:hint="eastAsia" w:ascii="仿宋" w:hAnsi="仿宋" w:eastAsia="仿宋" w:cs="仿宋"/>
          <w:bCs/>
          <w:color w:val="auto"/>
          <w:sz w:val="24"/>
          <w:szCs w:val="24"/>
          <w:highlight w:val="none"/>
        </w:rPr>
        <w:t>发票、供货合同、</w:t>
      </w:r>
      <w:r>
        <w:rPr>
          <w:rFonts w:hint="eastAsia" w:ascii="仿宋" w:hAnsi="仿宋" w:eastAsia="仿宋" w:cs="仿宋"/>
          <w:bCs/>
          <w:color w:val="auto"/>
          <w:sz w:val="24"/>
          <w:szCs w:val="24"/>
          <w:highlight w:val="none"/>
          <w:lang w:eastAsia="zh-CN"/>
        </w:rPr>
        <w:t>成交通知书、验收单（供货清单）</w:t>
      </w:r>
      <w:r>
        <w:rPr>
          <w:rFonts w:hint="eastAsia" w:ascii="仿宋" w:hAnsi="仿宋" w:eastAsia="仿宋" w:cs="仿宋"/>
          <w:bCs/>
          <w:color w:val="auto"/>
          <w:sz w:val="24"/>
          <w:szCs w:val="24"/>
          <w:highlight w:val="none"/>
        </w:rPr>
        <w:t>在甲方处</w:t>
      </w:r>
      <w:r>
        <w:rPr>
          <w:rFonts w:hint="eastAsia" w:ascii="仿宋" w:hAnsi="仿宋" w:eastAsia="仿宋" w:cs="仿宋"/>
          <w:bCs/>
          <w:color w:val="auto"/>
          <w:sz w:val="24"/>
          <w:szCs w:val="24"/>
          <w:highlight w:val="none"/>
          <w:lang w:eastAsia="zh-CN"/>
        </w:rPr>
        <w:t>按月据实</w:t>
      </w:r>
      <w:r>
        <w:rPr>
          <w:rFonts w:hint="eastAsia" w:ascii="仿宋" w:hAnsi="仿宋" w:eastAsia="仿宋" w:cs="仿宋"/>
          <w:bCs/>
          <w:color w:val="auto"/>
          <w:sz w:val="24"/>
          <w:szCs w:val="24"/>
          <w:highlight w:val="none"/>
        </w:rPr>
        <w:t>结</w:t>
      </w:r>
      <w:r>
        <w:rPr>
          <w:rFonts w:hint="eastAsia" w:ascii="仿宋" w:hAnsi="仿宋" w:eastAsia="仿宋" w:cs="仿宋"/>
          <w:color w:val="auto"/>
          <w:sz w:val="24"/>
          <w:szCs w:val="24"/>
          <w:highlight w:val="none"/>
        </w:rPr>
        <w:t>算。乙方延期提供发票或提供的发票不符合甲方要求的，甲方有权拒付合同款项且不承担任何法律责任。因乙方原因导致甲方不能及时付款的，甲方无需承担任何责任。</w:t>
      </w:r>
    </w:p>
    <w:p w14:paraId="29EDA399">
      <w:pPr>
        <w:shd w:val="clear"/>
        <w:tabs>
          <w:tab w:val="left" w:pos="480"/>
        </w:tabs>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（四）付款批次：每月按照实际供货量在甲方收到发票后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日完成支付。</w:t>
      </w:r>
    </w:p>
    <w:p w14:paraId="65823628">
      <w:pPr>
        <w:shd w:val="clear"/>
        <w:tabs>
          <w:tab w:val="left" w:pos="480"/>
        </w:tabs>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四、</w:t>
      </w:r>
      <w:r>
        <w:rPr>
          <w:rFonts w:hint="eastAsia" w:ascii="仿宋" w:hAnsi="仿宋" w:eastAsia="仿宋" w:cs="仿宋"/>
          <w:color w:val="auto"/>
          <w:sz w:val="24"/>
          <w:szCs w:val="24"/>
          <w:highlight w:val="none"/>
        </w:rPr>
        <w:t>双方的权利和义务</w:t>
      </w:r>
    </w:p>
    <w:p w14:paraId="2B593213">
      <w:pPr>
        <w:shd w:val="clea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744B6F9A">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（甲、乙双方约定）甲方提供场地配合乙方</w:t>
      </w:r>
      <w:r>
        <w:rPr>
          <w:rFonts w:hint="eastAsia" w:ascii="仿宋" w:hAnsi="仿宋" w:eastAsia="仿宋" w:cs="仿宋"/>
          <w:color w:val="auto"/>
          <w:sz w:val="24"/>
          <w:szCs w:val="24"/>
          <w:highlight w:val="none"/>
          <w:lang w:eastAsia="zh-CN"/>
        </w:rPr>
        <w:t>送货到指定地点</w:t>
      </w:r>
      <w:r>
        <w:rPr>
          <w:rFonts w:hint="eastAsia" w:ascii="仿宋" w:hAnsi="仿宋" w:eastAsia="仿宋" w:cs="仿宋"/>
          <w:color w:val="auto"/>
          <w:sz w:val="24"/>
          <w:szCs w:val="24"/>
          <w:highlight w:val="none"/>
        </w:rPr>
        <w:t>，按竞争性谈判文件来规范乙方。</w:t>
      </w:r>
    </w:p>
    <w:p w14:paraId="51230F94">
      <w:pPr>
        <w:shd w:val="clea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3C466D85">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（甲、乙双方约定）乙方按照合同约定保证提供全新原厂</w:t>
      </w:r>
      <w:r>
        <w:rPr>
          <w:rFonts w:hint="eastAsia" w:ascii="仿宋" w:hAnsi="仿宋" w:eastAsia="仿宋" w:cs="仿宋"/>
          <w:color w:val="auto"/>
          <w:sz w:val="24"/>
          <w:szCs w:val="24"/>
          <w:highlight w:val="none"/>
          <w:lang w:val="en-US" w:eastAsia="zh-CN"/>
        </w:rPr>
        <w:t>产品</w:t>
      </w:r>
      <w:r>
        <w:rPr>
          <w:rFonts w:hint="eastAsia" w:ascii="仿宋" w:hAnsi="仿宋" w:eastAsia="仿宋" w:cs="仿宋"/>
          <w:color w:val="auto"/>
          <w:sz w:val="24"/>
          <w:szCs w:val="24"/>
          <w:highlight w:val="none"/>
        </w:rPr>
        <w:t>，按时</w:t>
      </w:r>
      <w:r>
        <w:rPr>
          <w:rFonts w:hint="eastAsia" w:ascii="仿宋" w:hAnsi="仿宋" w:eastAsia="仿宋" w:cs="仿宋"/>
          <w:color w:val="auto"/>
          <w:sz w:val="24"/>
          <w:szCs w:val="24"/>
          <w:highlight w:val="none"/>
          <w:lang w:eastAsia="zh-CN"/>
        </w:rPr>
        <w:t>送货到指定地点</w:t>
      </w:r>
      <w:r>
        <w:rPr>
          <w:rFonts w:hint="eastAsia" w:ascii="仿宋" w:hAnsi="仿宋" w:eastAsia="仿宋" w:cs="仿宋"/>
          <w:color w:val="auto"/>
          <w:sz w:val="24"/>
          <w:szCs w:val="24"/>
          <w:highlight w:val="none"/>
        </w:rPr>
        <w:t>，并承担招标文件所规定的义务。</w:t>
      </w:r>
    </w:p>
    <w:p w14:paraId="39843CBB">
      <w:pPr>
        <w:shd w:val="clear"/>
        <w:tabs>
          <w:tab w:val="left" w:pos="480"/>
        </w:tabs>
        <w:spacing w:line="360" w:lineRule="auto"/>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五、交货条件：</w:t>
      </w:r>
    </w:p>
    <w:p w14:paraId="7224D230">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（一）交货地点：甲方指定地点。</w:t>
      </w:r>
    </w:p>
    <w:p w14:paraId="0310F447">
      <w:pPr>
        <w:shd w:val="clear"/>
        <w:tabs>
          <w:tab w:val="left" w:pos="480"/>
        </w:tabs>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（二）交货期：合同签订后一年内按甲方要求如期供货。</w:t>
      </w:r>
      <w:r>
        <w:rPr>
          <w:rFonts w:hint="eastAsia" w:ascii="仿宋" w:hAnsi="仿宋" w:eastAsia="仿宋" w:cs="仿宋"/>
          <w:color w:val="auto"/>
          <w:sz w:val="24"/>
          <w:szCs w:val="24"/>
          <w:highlight w:val="none"/>
          <w:lang w:val="en-US" w:eastAsia="zh-CN"/>
        </w:rPr>
        <w:t>乙方每次应在接到甲方通知后【5】日内按甲方需求的种类、数量将货物运送至甲方指定地点。</w:t>
      </w:r>
    </w:p>
    <w:p w14:paraId="1904F770">
      <w:pPr>
        <w:shd w:val="clea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（三）交付条件：</w:t>
      </w:r>
    </w:p>
    <w:p w14:paraId="7BE5ADBD">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六、运输</w:t>
      </w:r>
    </w:p>
    <w:p w14:paraId="3E81C419">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（一）运输由乙方负责，运杂费已包含在合同总价内，包括从货物供应地点所含的运输费、装卸费、仓储费、保险费等。</w:t>
      </w:r>
    </w:p>
    <w:p w14:paraId="45A90164">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（二）运输方式由乙方自行选择，但必须保证按期交货。</w:t>
      </w:r>
    </w:p>
    <w:p w14:paraId="23ACBA3E">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（三）货物验收合格前，毁损、灭失的风险由乙方承担。</w:t>
      </w:r>
    </w:p>
    <w:p w14:paraId="54186193">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七、质量保证</w:t>
      </w:r>
    </w:p>
    <w:p w14:paraId="7E644D83">
      <w:pPr>
        <w:shd w:val="clear"/>
        <w:tabs>
          <w:tab w:val="left" w:pos="480"/>
        </w:tabs>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乙方所供货物必须执行下列条款：</w:t>
      </w:r>
    </w:p>
    <w:p w14:paraId="2DBFEE7A">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（一）保证技术指标先进、质量性能可靠、进货渠道正常，配置合理，全面满足招标要求。</w:t>
      </w:r>
    </w:p>
    <w:p w14:paraId="508B36E3">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（二）符合国家有关规范要求，确保达到最佳运行状态。</w:t>
      </w:r>
    </w:p>
    <w:p w14:paraId="2A4D13AF">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（三）具有良好的外观，适合安装场所的使用。</w:t>
      </w:r>
    </w:p>
    <w:p w14:paraId="71A80910">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en-US" w:eastAsia="zh-CN"/>
        </w:rPr>
        <w:t>本项目质保期为</w:t>
      </w:r>
      <w:r>
        <w:rPr>
          <w:rFonts w:hint="eastAsia" w:ascii="仿宋" w:hAnsi="仿宋" w:eastAsia="仿宋" w:cs="仿宋"/>
          <w:color w:val="auto"/>
          <w:sz w:val="24"/>
          <w:szCs w:val="24"/>
          <w:highlight w:val="none"/>
        </w:rPr>
        <w:t>自安装、调试正常运行并验收合格之日起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年，质保期内</w:t>
      </w:r>
      <w:r>
        <w:rPr>
          <w:rFonts w:hint="eastAsia" w:ascii="仿宋" w:hAnsi="仿宋" w:eastAsia="仿宋" w:cs="仿宋"/>
          <w:color w:val="auto"/>
          <w:sz w:val="24"/>
          <w:szCs w:val="24"/>
          <w:highlight w:val="none"/>
        </w:rPr>
        <w:t>：</w:t>
      </w:r>
    </w:p>
    <w:p w14:paraId="2B0F15AA">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在质保期内发生质量问题的产品，供应商须在接到通知后48小时以内进行更换或退换，确保所提供的产品合格率达到100%，并对造成的损失承担赔偿责任。</w:t>
      </w:r>
    </w:p>
    <w:p w14:paraId="55DA85D0">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产品质量要求：</w:t>
      </w:r>
    </w:p>
    <w:p w14:paraId="58D3C7BF">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1、所有产品及辅料必须符合《国家纺织产品基本安全技术规范》等国家相关法律或行业标准的相关规定。</w:t>
      </w:r>
    </w:p>
    <w:p w14:paraId="189751DA">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2、所有纺织品必须符合洗涤标准，耐高温高压、耐消毒、耐氯漂，耐摩擦，透气性好的材质。</w:t>
      </w:r>
    </w:p>
    <w:p w14:paraId="73B11AB1">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3、所有产品的用料、颜色、做工、材质、款式要与采购人要求相一致，大小规格要严格按行业规范标准执行，存在争议时采购人享有最高解释权。</w:t>
      </w:r>
    </w:p>
    <w:p w14:paraId="4D74CD64">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4、产品整洁美观，平整挺括，线路顺直，左右对称。</w:t>
      </w:r>
    </w:p>
    <w:p w14:paraId="059AE7BE">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5、不合格产品范围包括：布料质量降低，颜色与色版不符，不合体，线路不平整，钮扣歪斜，衣袋不正或有烂口，钮扣订线不稳，衣袖、裤脚线路不稳，肩板不平等。</w:t>
      </w:r>
    </w:p>
    <w:p w14:paraId="3FDF4533">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其他要求：</w:t>
      </w:r>
    </w:p>
    <w:p w14:paraId="06FBDFB9">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1、对于需要量身订做的服装，由供应商须派人到现场量体，时间由双方约定；因质量问题发生争议时，由质监部门进行相关鉴定,所有鉴定费用由供应商承担。</w:t>
      </w:r>
    </w:p>
    <w:p w14:paraId="41671CF3">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2、采购人有权根据实际情况自行选择规格、色样和款式，投标人在核算价格时，价格不受款式的复杂程度及颜色的影响。</w:t>
      </w:r>
    </w:p>
    <w:p w14:paraId="2C5CDE38">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3、投标人必须制订安全、有效的特殊情况（如交通受阻、停电、停水、停气、机器设备故障等）应急预案，以确保产品的供给，并在投标文件中列明。</w:t>
      </w:r>
    </w:p>
    <w:p w14:paraId="6E72E64C">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4、每一批次的产品都必须有厂家出具的质监部门的检验报告。</w:t>
      </w:r>
    </w:p>
    <w:p w14:paraId="06CA473C">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5、每件衣裤均有永久性标签，标明尺寸。</w:t>
      </w:r>
    </w:p>
    <w:p w14:paraId="782E9383">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6、货物交货时，中标供应商必须派遣服务队伍至最终用户现场， 附品种、数量清单，供采购人发放签收用。对不符合质量标准或不合体的进行返工或重做，直到满意为止。返工和重做的所有费用由中标供应商承担。</w:t>
      </w:r>
    </w:p>
    <w:p w14:paraId="1E5078AB">
      <w:pPr>
        <w:shd w:val="clea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7、供货商必须制订安全、有效的特殊情况应急预案，以确保产品的供给。供应商提供的各类产品须有产品合格证。</w:t>
      </w:r>
    </w:p>
    <w:p w14:paraId="75F60BDC">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八、售后服务</w:t>
      </w:r>
    </w:p>
    <w:p w14:paraId="253E7AB4">
      <w:pPr>
        <w:shd w:val="clea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乙方所供货物提供以下售后服务：</w:t>
      </w:r>
    </w:p>
    <w:p w14:paraId="0D1645BB">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（一）质保期内：</w:t>
      </w:r>
    </w:p>
    <w:p w14:paraId="11613D58">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在质保期内发生质量问题的产品，供应商须在接到通知后48小时以内进行更换或退换，确保所提供的产品合格率达到100%，并对造成的损失承担赔偿责任。</w:t>
      </w:r>
    </w:p>
    <w:p w14:paraId="2B13A94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（二）质保期满后：乙方承担维修服务，甲方负责承担相关费用。 </w:t>
      </w:r>
    </w:p>
    <w:p w14:paraId="006065C2">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九、技术与服务</w:t>
      </w:r>
    </w:p>
    <w:p w14:paraId="2C0A1083">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（一）技术资料：</w:t>
      </w:r>
    </w:p>
    <w:p w14:paraId="0082980A">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1、货物合格证；</w:t>
      </w:r>
    </w:p>
    <w:p w14:paraId="0F309FDB">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2、货物使用说明书（中文）；</w:t>
      </w:r>
    </w:p>
    <w:p w14:paraId="2E3DA950">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3、进口货物商检证明和报关单；</w:t>
      </w:r>
    </w:p>
    <w:p w14:paraId="5976CE53">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4、检验测试报告；</w:t>
      </w:r>
    </w:p>
    <w:p w14:paraId="187A9D4C">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5、其它资料。</w:t>
      </w:r>
    </w:p>
    <w:p w14:paraId="733D6A64">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（二）服务承诺：以澄清表、合同和随货物的相关文件为准。</w:t>
      </w:r>
    </w:p>
    <w:p w14:paraId="7A0F2D01">
      <w:pPr>
        <w:shd w:val="clea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技术要求</w:t>
      </w:r>
    </w:p>
    <w:p w14:paraId="25656A1B">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1、所有产品及辅料必须符合《国家纺织产品基本安全技术规范》等国家相关法律或行业标准的相关规定。</w:t>
      </w:r>
    </w:p>
    <w:p w14:paraId="7292E7D6">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2、所有纺织品必须符合洗涤标准，耐高温高压、耐消毒、耐氯漂，耐摩擦，透气性好的材质。</w:t>
      </w:r>
    </w:p>
    <w:p w14:paraId="10CFED86">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3、所有产品的用料、颜色、做工、材质、款式要与采购人要求相一致，大小规格要严格按行业规范标准执行，存在争议时采购人享有最高解释权。</w:t>
      </w:r>
    </w:p>
    <w:p w14:paraId="41D9E88F">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4、产品整洁美观，平整挺括，线路顺直，左右对称。</w:t>
      </w:r>
    </w:p>
    <w:p w14:paraId="1B82579A">
      <w:pPr>
        <w:pStyle w:val="2"/>
        <w:ind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5、不合格产品范围包括：布料质量降低，颜色与色版不符，不合体，线路不平整，钮扣歪斜，衣袋不正或有烂口，钮扣订线不稳，衣袖、裤脚线路不稳，肩板不平等。</w:t>
      </w:r>
    </w:p>
    <w:p w14:paraId="0F414B17">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（四）其他要求</w:t>
      </w:r>
    </w:p>
    <w:p w14:paraId="65C0640A">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1、对于需要量身订做的服装，由供应商须派人到现场量体，时间由双方约定；因质量问题发生争议时，由质监部门进行相关鉴定,所有鉴定费用由供应商承担。</w:t>
      </w:r>
    </w:p>
    <w:p w14:paraId="3990D8F2">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2、采购人有权根据实际情况自行选择规格、色样和款式，投标人在核算价格时，价格不受款式的复杂程度及颜色的影响。</w:t>
      </w:r>
    </w:p>
    <w:p w14:paraId="4F62DD03">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3、投标人必须制订安全、有效的特殊情况（如交通受阻、停电、停水、停气、机器设备故障等）应急预案，以确保产品的供给，并在投标文件中列明。</w:t>
      </w:r>
    </w:p>
    <w:p w14:paraId="02868751">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4、每一批次的产品都必须有厂家出具的质监部门的检验报告。</w:t>
      </w:r>
    </w:p>
    <w:p w14:paraId="4B4DE2A3">
      <w:pPr>
        <w:pStyle w:val="2"/>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5、每件衣裤均有永久性标签，标明尺寸。</w:t>
      </w:r>
    </w:p>
    <w:p w14:paraId="3C1F6B81">
      <w:pPr>
        <w:pStyle w:val="2"/>
        <w:ind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6、货物交货时，中标供应商必须派遣服务队伍至最终用户现场， 附品种、数量清单，供采购人发放签收用。对不符合质量标准或不合体的进行返工或重做，直到满意为止。返工和重做的所有费用由中标供应商承担。</w:t>
      </w:r>
    </w:p>
    <w:p w14:paraId="2722498C">
      <w:pPr>
        <w:pStyle w:val="2"/>
        <w:ind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r>
        <w:rPr>
          <w:rFonts w:hint="default" w:ascii="仿宋" w:hAnsi="仿宋" w:eastAsia="仿宋" w:cs="仿宋"/>
          <w:color w:val="auto"/>
          <w:sz w:val="24"/>
          <w:szCs w:val="24"/>
          <w:highlight w:val="none"/>
          <w:lang w:val="en-US" w:eastAsia="zh-CN"/>
        </w:rPr>
        <w:t>供货商必须根据甲方要求供货，所有产品必须符合国家相关法律或行业标准的相关规定并提供产品合格证，所有产品的做工、材质要与甲方要求相一致，大小规格要严格按行业规范标准执行，存在争议时甲方享有最高解释权。</w:t>
      </w:r>
    </w:p>
    <w:p w14:paraId="68E7C29F">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十、验收</w:t>
      </w:r>
    </w:p>
    <w:p w14:paraId="6FA579F2">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（一）货物到达甲方指定地点后，由甲乙双方共同验收。验收合格后，</w:t>
      </w:r>
      <w:r>
        <w:rPr>
          <w:rFonts w:hint="eastAsia" w:ascii="仿宋" w:hAnsi="仿宋" w:eastAsia="仿宋" w:cs="仿宋"/>
          <w:color w:val="auto"/>
          <w:sz w:val="24"/>
          <w:szCs w:val="24"/>
          <w:highlight w:val="none"/>
          <w:lang w:eastAsia="zh-CN"/>
        </w:rPr>
        <w:t>由甲方进行入库并办理相关手续</w:t>
      </w:r>
      <w:r>
        <w:rPr>
          <w:rFonts w:hint="eastAsia" w:ascii="仿宋" w:hAnsi="仿宋" w:eastAsia="仿宋" w:cs="仿宋"/>
          <w:color w:val="auto"/>
          <w:sz w:val="24"/>
          <w:szCs w:val="24"/>
          <w:highlight w:val="none"/>
        </w:rPr>
        <w:t>。</w:t>
      </w:r>
    </w:p>
    <w:p w14:paraId="1301FE06">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（二）乙方向甲方提交货物实施过程中的所有资料。以便甲方日后管理和维护。</w:t>
      </w:r>
    </w:p>
    <w:p w14:paraId="48C58719">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（三）验收依据：</w:t>
      </w:r>
    </w:p>
    <w:p w14:paraId="65064D63">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1、西安市中心医院报价单、澄清表、排名表；</w:t>
      </w:r>
    </w:p>
    <w:p w14:paraId="7DC7830A">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2、货物配置清单；</w:t>
      </w:r>
    </w:p>
    <w:p w14:paraId="305F9B0D">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3、本合同及附件文本；</w:t>
      </w:r>
    </w:p>
    <w:p w14:paraId="1FD5B411">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4、国家相应的标准、规范。</w:t>
      </w:r>
    </w:p>
    <w:p w14:paraId="2DDED481">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十一、违约责任</w:t>
      </w:r>
    </w:p>
    <w:p w14:paraId="6B638F8A">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（一）按《中华人民共和国政府采购法》、《中华人民共和国民法典》中的相关条款执行。</w:t>
      </w:r>
    </w:p>
    <w:p w14:paraId="635C1467">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未按合同要求提供货物或质量不能满足招标技术要求，乙方必须无条件按甲方要求的时限进行更换，提高技术，完善质量；否则，甲方有权单方解除本合同，合同自书面解除通知送达乙方之日起解除，乙方应当按照</w:t>
      </w:r>
      <w:r>
        <w:rPr>
          <w:rFonts w:hint="eastAsia" w:ascii="仿宋" w:hAnsi="仿宋" w:eastAsia="仿宋" w:cs="仿宋"/>
          <w:color w:val="auto"/>
          <w:sz w:val="24"/>
          <w:szCs w:val="24"/>
          <w:highlight w:val="none"/>
          <w:lang w:val="en-US" w:eastAsia="zh-CN"/>
        </w:rPr>
        <w:t>本合同</w:t>
      </w:r>
      <w:r>
        <w:rPr>
          <w:rFonts w:hint="eastAsia" w:ascii="仿宋" w:hAnsi="仿宋" w:eastAsia="仿宋" w:cs="仿宋"/>
          <w:color w:val="auto"/>
          <w:sz w:val="24"/>
          <w:highlight w:val="none"/>
        </w:rPr>
        <w:t>预算最高限价</w:t>
      </w:r>
      <w:r>
        <w:rPr>
          <w:rFonts w:hint="eastAsia" w:ascii="仿宋" w:hAnsi="仿宋" w:eastAsia="仿宋" w:cs="仿宋"/>
          <w:color w:val="auto"/>
          <w:sz w:val="24"/>
          <w:szCs w:val="24"/>
          <w:highlight w:val="none"/>
        </w:rPr>
        <w:t>的【】%向甲方支付违约金，违约金不足以弥补甲方损失的，乙方需另行支付。同时，甲方有权对乙方的违约行为报监管机构进行相应的处罚。</w:t>
      </w:r>
    </w:p>
    <w:p w14:paraId="71358489">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（三）乙方逾期交货的，交货期每超过一天，乙方应按照合</w:t>
      </w:r>
      <w:r>
        <w:rPr>
          <w:rFonts w:hint="eastAsia" w:ascii="仿宋" w:hAnsi="仿宋" w:eastAsia="仿宋" w:cs="仿宋"/>
          <w:color w:val="auto"/>
          <w:sz w:val="24"/>
          <w:szCs w:val="24"/>
          <w:highlight w:val="none"/>
          <w:lang w:val="en-US" w:eastAsia="zh-CN"/>
        </w:rPr>
        <w:t>本合同</w:t>
      </w:r>
      <w:r>
        <w:rPr>
          <w:rFonts w:hint="eastAsia" w:ascii="仿宋" w:hAnsi="仿宋" w:eastAsia="仿宋" w:cs="仿宋"/>
          <w:color w:val="auto"/>
          <w:sz w:val="24"/>
          <w:highlight w:val="none"/>
        </w:rPr>
        <w:t>预算最高限价</w:t>
      </w:r>
      <w:r>
        <w:rPr>
          <w:rFonts w:hint="eastAsia" w:ascii="仿宋" w:hAnsi="仿宋" w:eastAsia="仿宋" w:cs="仿宋"/>
          <w:color w:val="auto"/>
          <w:sz w:val="24"/>
          <w:szCs w:val="24"/>
          <w:highlight w:val="none"/>
        </w:rPr>
        <w:t>的【】%向甲方支付违约金；累计逾期超过【】天</w:t>
      </w:r>
      <w:r>
        <w:rPr>
          <w:rFonts w:hint="eastAsia" w:ascii="仿宋" w:hAnsi="仿宋" w:eastAsia="仿宋" w:cs="仿宋"/>
          <w:sz w:val="24"/>
          <w:szCs w:val="24"/>
          <w:highlight w:val="none"/>
          <w:lang w:val="en-US" w:eastAsia="zh-CN"/>
        </w:rPr>
        <w:t>或合同期内逾期交货情形累计达到【 】次</w:t>
      </w:r>
      <w:r>
        <w:rPr>
          <w:rFonts w:hint="eastAsia" w:ascii="仿宋" w:hAnsi="仿宋" w:eastAsia="仿宋" w:cs="仿宋"/>
          <w:color w:val="auto"/>
          <w:sz w:val="24"/>
          <w:szCs w:val="24"/>
          <w:highlight w:val="none"/>
        </w:rPr>
        <w:t>的，视为乙方根本违约，甲方有权单方解除合同，合同自甲方书面解除通知送达乙方之日起解除，乙方应当按照</w:t>
      </w:r>
      <w:r>
        <w:rPr>
          <w:rFonts w:hint="eastAsia" w:ascii="仿宋" w:hAnsi="仿宋" w:eastAsia="仿宋" w:cs="仿宋"/>
          <w:color w:val="auto"/>
          <w:sz w:val="24"/>
          <w:szCs w:val="24"/>
          <w:highlight w:val="none"/>
          <w:lang w:val="en-US" w:eastAsia="zh-CN"/>
        </w:rPr>
        <w:t>本合同</w:t>
      </w:r>
      <w:r>
        <w:rPr>
          <w:rFonts w:hint="eastAsia" w:ascii="仿宋" w:hAnsi="仿宋" w:eastAsia="仿宋" w:cs="仿宋"/>
          <w:color w:val="auto"/>
          <w:sz w:val="24"/>
          <w:highlight w:val="none"/>
        </w:rPr>
        <w:t>预算最高限价</w:t>
      </w:r>
      <w:r>
        <w:rPr>
          <w:rFonts w:hint="eastAsia" w:ascii="仿宋" w:hAnsi="仿宋" w:eastAsia="仿宋" w:cs="仿宋"/>
          <w:color w:val="auto"/>
          <w:sz w:val="24"/>
          <w:szCs w:val="24"/>
          <w:highlight w:val="none"/>
        </w:rPr>
        <w:t>的【】%向甲方支付违约金，违约金不足以弥补甲方损失的，乙方需另行支付。</w:t>
      </w:r>
    </w:p>
    <w:p w14:paraId="7CF553C9">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（四）乙方违约时，甲方为主张权利而支出的律师费、保全费、保全保险费、诉讼费、差旅费等费用由乙方承担。</w:t>
      </w:r>
    </w:p>
    <w:p w14:paraId="7760ADA1">
      <w:pPr>
        <w:shd w:val="clear"/>
        <w:tabs>
          <w:tab w:val="left" w:pos="480"/>
        </w:tabs>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十二、合同争议解决的方式</w:t>
      </w:r>
    </w:p>
    <w:p w14:paraId="6D0CCC76">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本合同在履行过程中发生的争议，由甲、乙双方当事人协商解决，协商不成的按以下第</w:t>
      </w:r>
      <w:bookmarkStart w:id="0" w:name="_GoBack"/>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lang w:val="en-US" w:eastAsia="zh-CN"/>
        </w:rPr>
        <w:t xml:space="preserve"> </w:t>
      </w:r>
      <w:bookmarkEnd w:id="0"/>
      <w:r>
        <w:rPr>
          <w:rFonts w:hint="eastAsia" w:ascii="仿宋" w:hAnsi="仿宋" w:eastAsia="仿宋" w:cs="仿宋"/>
          <w:color w:val="auto"/>
          <w:sz w:val="24"/>
          <w:szCs w:val="24"/>
          <w:highlight w:val="none"/>
        </w:rPr>
        <w:t>种式解决：</w:t>
      </w:r>
    </w:p>
    <w:p w14:paraId="16620F22">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仲裁委员会仲裁；</w:t>
      </w:r>
    </w:p>
    <w:p w14:paraId="1EBFD05B">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2、依法向</w:t>
      </w:r>
      <w:r>
        <w:rPr>
          <w:rFonts w:hint="eastAsia" w:ascii="仿宋" w:hAnsi="仿宋" w:eastAsia="仿宋" w:cs="仿宋"/>
          <w:color w:val="auto"/>
          <w:sz w:val="24"/>
          <w:szCs w:val="24"/>
          <w:highlight w:val="none"/>
          <w:u w:val="single"/>
        </w:rPr>
        <w:t>甲方所在地</w:t>
      </w:r>
      <w:r>
        <w:rPr>
          <w:rFonts w:hint="eastAsia" w:ascii="仿宋" w:hAnsi="仿宋" w:eastAsia="仿宋" w:cs="仿宋"/>
          <w:color w:val="auto"/>
          <w:sz w:val="24"/>
          <w:szCs w:val="24"/>
          <w:highlight w:val="none"/>
        </w:rPr>
        <w:t>人民法院起诉。</w:t>
      </w:r>
    </w:p>
    <w:p w14:paraId="0F188A2A">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十三、合同生效</w:t>
      </w:r>
    </w:p>
    <w:p w14:paraId="1ACF7C64">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份，乙方执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份，本合同甲、乙双方签字盖章后生效，合同执行完毕后，自动终止（合同的服务承诺则长期有效）。</w:t>
      </w:r>
    </w:p>
    <w:p w14:paraId="4353DA64">
      <w:pPr>
        <w:shd w:val="clear"/>
        <w:tabs>
          <w:tab w:val="left" w:pos="480"/>
        </w:tabs>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十四、其他事项</w:t>
      </w:r>
    </w:p>
    <w:p w14:paraId="7D68B65D">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（一）报价单、澄清表、中标通知书、合同附件均成为合同不可分割的部分。</w:t>
      </w:r>
    </w:p>
    <w:p w14:paraId="2E585488">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（二）合同未尽事宜，由甲、乙双方协商、确认后，作为合同补充，与原合同具有同等法律效力。</w:t>
      </w:r>
    </w:p>
    <w:p w14:paraId="5DAACA3B">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（三）合同一经签订，不得擅自变更、中止或终止合同。对确需变更、调整或中止、终止合同的，应按规定履行相应的手续。</w:t>
      </w:r>
    </w:p>
    <w:p w14:paraId="6E5F786F">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（四）本合同按照中华人民共和国的现行法律进行解释。</w:t>
      </w:r>
    </w:p>
    <w:p w14:paraId="4CD1585C">
      <w:pPr>
        <w:shd w:val="clea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供应商规模：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（大型企业/中型企业/小微型企业）</w:t>
      </w:r>
    </w:p>
    <w:p w14:paraId="296180FA">
      <w:pPr>
        <w:shd w:val="clear"/>
        <w:tabs>
          <w:tab w:val="left" w:pos="480"/>
        </w:tabs>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甲方联系人：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lang w:val="en-US" w:eastAsia="zh-CN"/>
        </w:rPr>
        <w:t>联系电话：</w:t>
      </w:r>
      <w:r>
        <w:rPr>
          <w:rFonts w:hint="eastAsia" w:ascii="仿宋" w:hAnsi="仿宋" w:eastAsia="仿宋" w:cs="仿宋"/>
          <w:color w:val="auto"/>
          <w:sz w:val="24"/>
          <w:szCs w:val="24"/>
          <w:highlight w:val="none"/>
          <w:u w:val="single"/>
          <w:lang w:val="en-US" w:eastAsia="zh-CN"/>
        </w:rPr>
        <w:t xml:space="preserve">            </w:t>
      </w:r>
    </w:p>
    <w:p w14:paraId="5BA28494">
      <w:pPr>
        <w:shd w:val="clear"/>
        <w:tabs>
          <w:tab w:val="left" w:pos="480"/>
        </w:tabs>
        <w:spacing w:line="360" w:lineRule="auto"/>
        <w:ind w:firstLine="1200" w:firstLineChars="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乙方联系人：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r>
        <w:rPr>
          <w:rFonts w:hint="eastAsia" w:ascii="仿宋" w:hAnsi="仿宋" w:eastAsia="仿宋" w:cs="仿宋"/>
          <w:color w:val="auto"/>
          <w:sz w:val="24"/>
          <w:szCs w:val="24"/>
          <w:highlight w:val="none"/>
          <w:lang w:val="en-US" w:eastAsia="zh-CN"/>
        </w:rPr>
        <w:t>联系电话：</w:t>
      </w:r>
      <w:r>
        <w:rPr>
          <w:rFonts w:hint="eastAsia" w:ascii="仿宋" w:hAnsi="仿宋" w:eastAsia="仿宋" w:cs="仿宋"/>
          <w:color w:val="auto"/>
          <w:sz w:val="24"/>
          <w:szCs w:val="24"/>
          <w:highlight w:val="none"/>
          <w:u w:val="single"/>
          <w:lang w:val="en-US" w:eastAsia="zh-CN"/>
        </w:rPr>
        <w:t xml:space="preserve">            </w:t>
      </w:r>
    </w:p>
    <w:p w14:paraId="23CA261B">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14:paraId="0DC75EDF">
      <w:pPr>
        <w:shd w:val="clear"/>
        <w:tabs>
          <w:tab w:val="left" w:pos="480"/>
        </w:tabs>
        <w:spacing w:line="360" w:lineRule="auto"/>
        <w:rPr>
          <w:rFonts w:hint="eastAsia" w:ascii="仿宋" w:hAnsi="仿宋" w:eastAsia="仿宋" w:cs="仿宋"/>
          <w:color w:val="auto"/>
          <w:sz w:val="24"/>
          <w:szCs w:val="24"/>
          <w:highlight w:val="none"/>
        </w:rPr>
      </w:pPr>
    </w:p>
    <w:p w14:paraId="14F18D44">
      <w:pPr>
        <w:shd w:val="clea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甲方（法人公章）                             乙方（法人公章）</w:t>
      </w:r>
    </w:p>
    <w:p w14:paraId="0A5B9C5F">
      <w:pPr>
        <w:shd w:val="clear"/>
        <w:tabs>
          <w:tab w:val="left" w:pos="480"/>
        </w:tabs>
        <w:spacing w:line="360" w:lineRule="auto"/>
        <w:ind w:left="5720" w:hanging="6240" w:hangingChars="2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单位名称：西安市中心医院                     单位名称:XXXXXXXXXX </w:t>
      </w:r>
    </w:p>
    <w:p w14:paraId="4FBBE1BE">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地址：西安市西五路161号                     地址：XXXXXX </w:t>
      </w:r>
    </w:p>
    <w:p w14:paraId="0F22CC2E">
      <w:pPr>
        <w:shd w:val="clea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2909D994">
      <w:pPr>
        <w:shd w:val="clea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1A1EDEB4">
      <w:pPr>
        <w:shd w:val="clear"/>
        <w:tabs>
          <w:tab w:val="left" w:pos="480"/>
        </w:tabs>
        <w:spacing w:line="360" w:lineRule="auto"/>
        <w:rPr>
          <w:rFonts w:hint="eastAsia" w:ascii="仿宋" w:hAnsi="仿宋" w:eastAsia="仿宋" w:cs="仿宋"/>
          <w:color w:val="auto"/>
          <w:sz w:val="24"/>
          <w:szCs w:val="24"/>
          <w:highlight w:val="none"/>
        </w:rPr>
      </w:pPr>
    </w:p>
    <w:p w14:paraId="27CDDBF0">
      <w:pPr>
        <w:pStyle w:val="2"/>
        <w:rPr>
          <w:rFonts w:hint="eastAsia"/>
        </w:rPr>
      </w:pPr>
    </w:p>
    <w:p w14:paraId="2C6BAA65">
      <w:pPr>
        <w:shd w:val="clear"/>
        <w:tabs>
          <w:tab w:val="left" w:pos="480"/>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代理人：（签字）                               代理人：（签字）</w:t>
      </w:r>
    </w:p>
    <w:p w14:paraId="0225B3A8">
      <w:pPr>
        <w:shd w:val="clear"/>
        <w:tabs>
          <w:tab w:val="left" w:pos="480"/>
        </w:tabs>
        <w:spacing w:line="360" w:lineRule="auto"/>
        <w:ind w:firstLine="5520" w:firstLineChars="2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开户银行:XXXXXXXX </w:t>
      </w:r>
    </w:p>
    <w:p w14:paraId="4892CE87">
      <w:pPr>
        <w:shd w:val="clear"/>
        <w:tabs>
          <w:tab w:val="left" w:pos="480"/>
        </w:tabs>
        <w:spacing w:line="360" w:lineRule="auto"/>
        <w:ind w:firstLine="5520" w:firstLineChars="2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帐号：XXXXXXXXXXX</w:t>
      </w:r>
    </w:p>
    <w:p w14:paraId="6CCA927F">
      <w:r>
        <w:rPr>
          <w:rFonts w:hint="eastAsia" w:ascii="仿宋" w:hAnsi="仿宋" w:eastAsia="仿宋" w:cs="仿宋"/>
          <w:color w:val="auto"/>
          <w:sz w:val="24"/>
          <w:szCs w:val="24"/>
          <w:highlight w:val="none"/>
        </w:rPr>
        <w:t>签订日期：    年  月  日                     签订日期：    年  月  日</w:t>
      </w:r>
    </w:p>
    <w:p w14:paraId="03C9B3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57E3A"/>
    <w:rsid w:val="152E5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3781</Words>
  <Characters>3838</Characters>
  <Lines>0</Lines>
  <Paragraphs>0</Paragraphs>
  <TotalTime>0</TotalTime>
  <ScaleCrop>false</ScaleCrop>
  <LinksUpToDate>false</LinksUpToDate>
  <CharactersWithSpaces>4160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2026-04-28T01:22:00Z</dcterms:created>
  <dc:creator>Administrator</dc:creator>
  <cp:lastModifiedBy>晚风。</cp:lastModifiedBy>
  <dcterms:modified xsi:type="dcterms:W3CDTF">2026-04-30T03:24:19Z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B7AB5FF8410649D7813C17575A4A265A_12</vt:lpwstr>
  </property>
</Properties>
</file>