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版本号：SXMX-BP-CS-26-00120260427001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2026年基础设施维护维修项目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SXMX-BP-CS-26-001</w:t>
      </w:r>
      <w:r>
        <w:br/>
      </w:r>
      <w:r>
        <w:br/>
      </w:r>
      <w:r>
        <w:br/>
      </w:r>
    </w:p>
    <w:p>
      <w:pPr>
        <w:pStyle w:val="null3"/>
        <w:jc w:val="center"/>
        <w:outlineLvl w:val="2"/>
      </w:pPr>
      <w:r>
        <w:rPr>
          <w:rFonts w:ascii="仿宋_GB2312" w:hAnsi="仿宋_GB2312" w:cs="仿宋_GB2312" w:eastAsia="仿宋_GB2312"/>
          <w:sz w:val="28"/>
          <w:b/>
        </w:rPr>
        <w:t>西安半坡博物馆</w:t>
      </w:r>
    </w:p>
    <w:p>
      <w:pPr>
        <w:pStyle w:val="null3"/>
        <w:jc w:val="center"/>
        <w:outlineLvl w:val="2"/>
      </w:pPr>
      <w:r>
        <w:rPr>
          <w:rFonts w:ascii="仿宋_GB2312" w:hAnsi="仿宋_GB2312" w:cs="仿宋_GB2312" w:eastAsia="仿宋_GB2312"/>
          <w:sz w:val="28"/>
          <w:b/>
        </w:rPr>
        <w:t>四川铭信工程招标咨询有限公司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四川铭信工程招标咨询有限公司</w:t>
      </w:r>
      <w:r>
        <w:rPr>
          <w:rFonts w:ascii="仿宋_GB2312" w:hAnsi="仿宋_GB2312" w:cs="仿宋_GB2312" w:eastAsia="仿宋_GB2312"/>
        </w:rPr>
        <w:t>（以下简称“代理机构”）受</w:t>
      </w:r>
      <w:r>
        <w:rPr>
          <w:rFonts w:ascii="仿宋_GB2312" w:hAnsi="仿宋_GB2312" w:cs="仿宋_GB2312" w:eastAsia="仿宋_GB2312"/>
        </w:rPr>
        <w:t>西安半坡博物馆</w:t>
      </w:r>
      <w:r>
        <w:rPr>
          <w:rFonts w:ascii="仿宋_GB2312" w:hAnsi="仿宋_GB2312" w:cs="仿宋_GB2312" w:eastAsia="仿宋_GB2312"/>
        </w:rPr>
        <w:t>委托，拟对</w:t>
      </w:r>
      <w:r>
        <w:rPr>
          <w:rFonts w:ascii="仿宋_GB2312" w:hAnsi="仿宋_GB2312" w:cs="仿宋_GB2312" w:eastAsia="仿宋_GB2312"/>
        </w:rPr>
        <w:t>2026年基础设施维护维修项目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SXMX-BP-CS-26-001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2026年基础设施维护维修项目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西安半坡博物馆2026年基础设施维护维修项目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采购包1（西安半坡博物馆2026年基础设施维护维修项目）：属于专门面向中小企业采购。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1、企业资质：投标人须具备由建设行政主管部门核发的【建筑工程施工总承包】三级及以上资质；</w:t>
      </w:r>
    </w:p>
    <w:p>
      <w:pPr>
        <w:pStyle w:val="null3"/>
      </w:pPr>
      <w:r>
        <w:rPr>
          <w:rFonts w:ascii="仿宋_GB2312" w:hAnsi="仿宋_GB2312" w:cs="仿宋_GB2312" w:eastAsia="仿宋_GB2312"/>
        </w:rPr>
        <w:t>2、项目经理：投标人拟派出的项目经理应具备合格有效的【建筑工程】二级及以上注册建造师，并具备有效的安全生产考核合格证书（安全B证），在本单位注册且无在建工程。</w:t>
      </w:r>
    </w:p>
    <w:p>
      <w:pPr>
        <w:pStyle w:val="null3"/>
      </w:pPr>
      <w:r>
        <w:rPr>
          <w:rFonts w:ascii="仿宋_GB2312" w:hAnsi="仿宋_GB2312" w:cs="仿宋_GB2312" w:eastAsia="仿宋_GB2312"/>
        </w:rPr>
        <w:t>3、磋商要求：单位负责人为同一人或者存在直接控股、管理关系的不同供应商不得参加同一合同项下的政府采购活动;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p>
      <w:pPr>
        <w:pStyle w:val="null3"/>
      </w:pPr>
      <w:r>
        <w:rPr>
          <w:rFonts w:ascii="仿宋_GB2312" w:hAnsi="仿宋_GB2312" w:cs="仿宋_GB2312" w:eastAsia="仿宋_GB2312"/>
        </w:rPr>
        <w:t>4、营业执照：具有独立承担民事责任能力的法人、其他组织或自然人，并出具合法有效的营业执照或事业单位法人证书等国家规定的相关证明，自然人参与的提供其身份证明；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5、财务状况报告：提供2024年度经审计的财务报告，或其开标前六个月内银行出具的资信证明。（以上两种形式的资料提供任何一种即可）；</w:t>
      </w:r>
    </w:p>
    <w:p>
      <w:pPr>
        <w:pStyle w:val="null3"/>
      </w:pPr>
      <w:r>
        <w:rPr>
          <w:rFonts w:ascii="仿宋_GB2312" w:hAnsi="仿宋_GB2312" w:cs="仿宋_GB2312" w:eastAsia="仿宋_GB2312"/>
        </w:rPr>
        <w:t>6、税收缴纳证明：提供2025年10月至投标文件递交截止之日已缴纳至少一个月的依法缴纳税款的相关凭据，凭据应有税务机关或代收机关的公章或业务专用章。依法免税或无须缴纳税款的投标人，应提供相关证明文件</w:t>
      </w:r>
    </w:p>
    <w:p>
      <w:pPr>
        <w:pStyle w:val="null3"/>
      </w:pPr>
      <w:r>
        <w:rPr>
          <w:rFonts w:ascii="仿宋_GB2312" w:hAnsi="仿宋_GB2312" w:cs="仿宋_GB2312" w:eastAsia="仿宋_GB2312"/>
        </w:rPr>
        <w:t>7、社会保障资金缴纳证明：提供2025年10月至投标文件递交截止之日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8、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投标人参与。</w:t>
      </w:r>
    </w:p>
    <w:p>
      <w:pPr>
        <w:pStyle w:val="null3"/>
      </w:pPr>
      <w:r>
        <w:rPr>
          <w:rFonts w:ascii="仿宋_GB2312" w:hAnsi="仿宋_GB2312" w:cs="仿宋_GB2312" w:eastAsia="仿宋_GB2312"/>
        </w:rPr>
        <w:t>9、承诺书：提供具有履行合同所必需的设备和专业技术能力的承诺函。</w:t>
      </w:r>
    </w:p>
    <w:p>
      <w:pPr>
        <w:pStyle w:val="null3"/>
      </w:pPr>
      <w:r>
        <w:rPr>
          <w:rFonts w:ascii="仿宋_GB2312" w:hAnsi="仿宋_GB2312" w:cs="仿宋_GB2312" w:eastAsia="仿宋_GB2312"/>
        </w:rPr>
        <w:t>10、授权要求：提供有效的法定代表人授权书及被授权人身份证。（法定代表人直接投标只须提供其身份证明）</w:t>
      </w:r>
    </w:p>
    <w:p>
      <w:pPr>
        <w:pStyle w:val="null3"/>
      </w:pPr>
      <w:r>
        <w:rPr>
          <w:rFonts w:ascii="仿宋_GB2312" w:hAnsi="仿宋_GB2312" w:cs="仿宋_GB2312" w:eastAsia="仿宋_GB2312"/>
        </w:rPr>
        <w:t>11、联合体要求：本项目不接受联合体投标。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西安半坡博物馆</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西安市东郊半坡路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710038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西安半坡博物馆经办杨磊</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18710499175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四川铭信工程招标咨询有限公司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西安市高新区科技五路数字大厦1606室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魏颖</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18502987004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采购包1：580,756.35元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开户名称：四川铭信工程招标咨询有限公司</w:t>
            </w:r>
          </w:p>
          <w:p>
            <w:pPr>
              <w:pStyle w:val="null3"/>
            </w:pPr>
            <w:r>
              <w:rPr>
                <w:rFonts w:ascii="仿宋_GB2312" w:hAnsi="仿宋_GB2312" w:cs="仿宋_GB2312" w:eastAsia="仿宋_GB2312"/>
              </w:rPr>
              <w:t>开户银行：成都银行高升桥支行</w:t>
            </w:r>
          </w:p>
          <w:p>
            <w:pPr>
              <w:pStyle w:val="null3"/>
            </w:pPr>
            <w:r>
              <w:rPr>
                <w:rFonts w:ascii="仿宋_GB2312" w:hAnsi="仿宋_GB2312" w:cs="仿宋_GB2312" w:eastAsia="仿宋_GB2312"/>
              </w:rPr>
              <w:t>银行账号：1001300000379923</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收费参考原《国家计委关于印发〈招标代理服务收费管理暂行办法〉的通知（计价格[2002]1980号）》、《国家发展改革委办公厅关于招标代理服务收费有关问题的通知（发改办价格[2003]857号）》和《国家发展改革委关于降低部分建设项目收费标准规范收费行为等有关问题的通知（发改价格[2011]534号）》，采用差额定率累进法进行计算。</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西安半坡博物馆</w:t>
      </w:r>
      <w:r>
        <w:rPr>
          <w:rFonts w:ascii="仿宋_GB2312" w:hAnsi="仿宋_GB2312" w:cs="仿宋_GB2312" w:eastAsia="仿宋_GB2312"/>
        </w:rPr>
        <w:t>和</w:t>
      </w:r>
      <w:r>
        <w:rPr>
          <w:rFonts w:ascii="仿宋_GB2312" w:hAnsi="仿宋_GB2312" w:cs="仿宋_GB2312" w:eastAsia="仿宋_GB2312"/>
        </w:rPr>
        <w:t>四川铭信工程招标咨询有限公司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西安半坡博物馆</w:t>
      </w:r>
      <w:r>
        <w:rPr>
          <w:rFonts w:ascii="仿宋_GB2312" w:hAnsi="仿宋_GB2312" w:cs="仿宋_GB2312" w:eastAsia="仿宋_GB2312"/>
        </w:rPr>
        <w:t>负责解释。除上述磋商文件内容，其他内容由</w:t>
      </w:r>
      <w:r>
        <w:rPr>
          <w:rFonts w:ascii="仿宋_GB2312" w:hAnsi="仿宋_GB2312" w:cs="仿宋_GB2312" w:eastAsia="仿宋_GB2312"/>
        </w:rPr>
        <w:t>四川铭信工程招标咨询有限公司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西安半坡博物馆</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四川铭信工程招标咨询有限公司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符合国家相关标准及采购人要求。</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四川铭信工程招标咨询有限公司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四川铭信工程招标咨询有限公司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四川铭信工程招标咨询有限公司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联系人：魏颖</w:t>
      </w:r>
    </w:p>
    <w:p>
      <w:pPr>
        <w:pStyle w:val="null3"/>
      </w:pPr>
      <w:r>
        <w:rPr>
          <w:rFonts w:ascii="仿宋_GB2312" w:hAnsi="仿宋_GB2312" w:cs="仿宋_GB2312" w:eastAsia="仿宋_GB2312"/>
        </w:rPr>
        <w:t>联系电话：18502987004</w:t>
      </w:r>
    </w:p>
    <w:p>
      <w:pPr>
        <w:pStyle w:val="null3"/>
      </w:pPr>
      <w:r>
        <w:rPr>
          <w:rFonts w:ascii="仿宋_GB2312" w:hAnsi="仿宋_GB2312" w:cs="仿宋_GB2312" w:eastAsia="仿宋_GB2312"/>
        </w:rPr>
        <w:t>地址：西安市高新区科技五路数字大厦1606室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580,756.35</w:t>
      </w:r>
    </w:p>
    <w:p>
      <w:pPr>
        <w:pStyle w:val="null3"/>
      </w:pPr>
      <w:r>
        <w:rPr>
          <w:rFonts w:ascii="仿宋_GB2312" w:hAnsi="仿宋_GB2312" w:cs="仿宋_GB2312" w:eastAsia="仿宋_GB2312"/>
        </w:rPr>
        <w:t>采购包最高限价（元）: 580,756.35</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维护维修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580,756.35</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标的名称：维护维修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建构物维修类：房屋、道路等基础设施的日常维修维护，展室馆舍等建筑物屋面清理及防水层维护维修；室内墙、地面维修维护；建筑物外墙破损、脱落维修；门窗玻璃等零星维修；（2）水电维修类：水、电管网应急抢险及维修，公厕内部洁具、上下水等零配件维修更换；（3）空调设备运维降噪（4）其他应急抢修维修。</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满足国家规范行业标准及甲方要求。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满足国家规范行业标准及甲方要求。</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供应商提供的资格证明文件.docx 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投标人须具备由建设行政主管部门核发的【建筑工程施工总承包】三级及以上资质；</w:t>
            </w:r>
          </w:p>
        </w:tc>
        <w:tc>
          <w:tcPr>
            <w:tcW w:type="dxa" w:w="1661"/>
          </w:tcPr>
          <w:p>
            <w:pPr>
              <w:pStyle w:val="null3"/>
            </w:pPr>
            <w:r>
              <w:rPr>
                <w:rFonts w:ascii="仿宋_GB2312" w:hAnsi="仿宋_GB2312" w:cs="仿宋_GB2312" w:eastAsia="仿宋_GB2312"/>
              </w:rPr>
              <w:t>响应文件封面 供应商提供的资格证明文件.docx 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投标人拟派出的项目经理应具备合格有效的【建筑工程】二级及以上注册建造师，并具备有效的安全生产考核合格证书（安全B证），在本单位注册且无在建工程。</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磋商要求</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1661"/>
          </w:tcPr>
          <w:p>
            <w:pPr>
              <w:pStyle w:val="null3"/>
            </w:pPr>
            <w:r>
              <w:rPr>
                <w:rFonts w:ascii="仿宋_GB2312" w:hAnsi="仿宋_GB2312" w:cs="仿宋_GB2312" w:eastAsia="仿宋_GB2312"/>
              </w:rPr>
              <w:t>供应商提供的资格证明文件.docx 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供应商提供的资格证明文件.docx 供应商应提交的相关资格证明材料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提供2024年度经审计的财务报告，或其开标前六个月内银行出具的资信证明。（以上两种形式的资料提供任何一种即可）；</w:t>
            </w:r>
          </w:p>
        </w:tc>
        <w:tc>
          <w:tcPr>
            <w:tcW w:type="dxa" w:w="1661"/>
          </w:tcPr>
          <w:p>
            <w:pPr>
              <w:pStyle w:val="null3"/>
            </w:pPr>
            <w:r>
              <w:rPr>
                <w:rFonts w:ascii="仿宋_GB2312" w:hAnsi="仿宋_GB2312" w:cs="仿宋_GB2312" w:eastAsia="仿宋_GB2312"/>
              </w:rPr>
              <w:t>供应商提供的资格证明文件.docx 供应商应提交的相关资格证明材料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提供2025年10月至投标文件递交截止之日已缴纳至少一个月的依法缴纳税款的相关凭据，凭据应有税务机关或代收机关的公章或业务专用章。依法免税或无须缴纳税款的投标人，应提供相关证明文件</w:t>
            </w:r>
          </w:p>
        </w:tc>
        <w:tc>
          <w:tcPr>
            <w:tcW w:type="dxa" w:w="1661"/>
          </w:tcPr>
          <w:p>
            <w:pPr>
              <w:pStyle w:val="null3"/>
            </w:pPr>
            <w:r>
              <w:rPr>
                <w:rFonts w:ascii="仿宋_GB2312" w:hAnsi="仿宋_GB2312" w:cs="仿宋_GB2312" w:eastAsia="仿宋_GB2312"/>
              </w:rPr>
              <w:t>供应商提供的资格证明文件.docx 供应商应提交的相关资格证明材料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提供2025年10月至投标文件递交截止之日已缴存的至少一个月的社会保障资金缴存单据或社保机构开具的社会保险参保缴费情况证明，依法不需要缴纳社会保障资金的单位应提供相关证明材料。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供应商提供的资格证明文件.docx 供应商应提交的相关资格证明材料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投标人参与。</w:t>
            </w:r>
          </w:p>
        </w:tc>
        <w:tc>
          <w:tcPr>
            <w:tcW w:type="dxa" w:w="1661"/>
          </w:tcPr>
          <w:p>
            <w:pPr>
              <w:pStyle w:val="null3"/>
            </w:pPr>
            <w:r>
              <w:rPr>
                <w:rFonts w:ascii="仿宋_GB2312" w:hAnsi="仿宋_GB2312" w:cs="仿宋_GB2312" w:eastAsia="仿宋_GB2312"/>
              </w:rPr>
              <w:t>供应商提供的资格证明文件.docx 供应商应提交的相关资格证明材料 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供应商提供的资格证明文件.docx 供应商应提交的相关资格证明材料 响应函</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授权要求</w:t>
            </w:r>
          </w:p>
        </w:tc>
        <w:tc>
          <w:tcPr>
            <w:tcW w:type="dxa" w:w="3322"/>
          </w:tcPr>
          <w:p>
            <w:pPr>
              <w:pStyle w:val="null3"/>
            </w:pPr>
            <w:r>
              <w:rPr>
                <w:rFonts w:ascii="仿宋_GB2312" w:hAnsi="仿宋_GB2312" w:cs="仿宋_GB2312" w:eastAsia="仿宋_GB2312"/>
              </w:rPr>
              <w:t>提供有效的法定代表人授权书及被授权人身份证。（法定代表人直接投标只须提供其身份证明）</w:t>
            </w:r>
          </w:p>
        </w:tc>
        <w:tc>
          <w:tcPr>
            <w:tcW w:type="dxa" w:w="1661"/>
          </w:tcPr>
          <w:p>
            <w:pPr>
              <w:pStyle w:val="null3"/>
            </w:pPr>
            <w:r>
              <w:rPr>
                <w:rFonts w:ascii="仿宋_GB2312" w:hAnsi="仿宋_GB2312" w:cs="仿宋_GB2312" w:eastAsia="仿宋_GB2312"/>
              </w:rPr>
              <w:t>供应商提供的资格证明文件.docx 供应商应提交的相关资格证明材料 响应函</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联合体要求</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供应商提供的资格证明文件.docx 供应商应提交的相关资格证明材料 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投标报价超过采购预算或者最高限价，其投标文件作为无效处理。</w:t>
            </w:r>
          </w:p>
        </w:tc>
        <w:tc>
          <w:tcPr>
            <w:tcW w:type="dxa" w:w="1661"/>
          </w:tcPr>
          <w:p>
            <w:pPr>
              <w:pStyle w:val="null3"/>
            </w:pPr>
            <w:r>
              <w:rPr>
                <w:rFonts w:ascii="仿宋_GB2312" w:hAnsi="仿宋_GB2312" w:cs="仿宋_GB2312" w:eastAsia="仿宋_GB2312"/>
              </w:rPr>
              <w:t>响应文件封面 已标价工程量清单 报价函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投标文件的交货期、质保期</w:t>
            </w:r>
          </w:p>
        </w:tc>
        <w:tc>
          <w:tcPr>
            <w:tcW w:type="dxa" w:w="3322"/>
          </w:tcPr>
          <w:p>
            <w:pPr>
              <w:pStyle w:val="null3"/>
            </w:pPr>
            <w:r>
              <w:rPr>
                <w:rFonts w:ascii="仿宋_GB2312" w:hAnsi="仿宋_GB2312" w:cs="仿宋_GB2312" w:eastAsia="仿宋_GB2312"/>
              </w:rPr>
              <w:t>投标文件的交货期、质保期不满足招标文件要求，其投标文件作为无效处理。</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投标文件的签署、盖章不符合招标文件要求，其投标文件作为无效处理。</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投标文件无投标有效期或有效期达不到招标文件要求的，其投标文件作为无效处理。</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标的数量</w:t>
            </w:r>
          </w:p>
        </w:tc>
        <w:tc>
          <w:tcPr>
            <w:tcW w:type="dxa" w:w="3322"/>
          </w:tcPr>
          <w:p>
            <w:pPr>
              <w:pStyle w:val="null3"/>
            </w:pPr>
            <w:r>
              <w:rPr>
                <w:rFonts w:ascii="仿宋_GB2312" w:hAnsi="仿宋_GB2312" w:cs="仿宋_GB2312" w:eastAsia="仿宋_GB2312"/>
              </w:rPr>
              <w:t>磋商响应文件标的出现漏项或货物数量与要求不符的，其磋商响应文件作为无效处理。</w:t>
            </w:r>
          </w:p>
        </w:tc>
        <w:tc>
          <w:tcPr>
            <w:tcW w:type="dxa" w:w="1661"/>
          </w:tcPr>
          <w:p>
            <w:pPr>
              <w:pStyle w:val="null3"/>
            </w:pPr>
            <w:r>
              <w:rPr>
                <w:rFonts w:ascii="仿宋_GB2312" w:hAnsi="仿宋_GB2312" w:cs="仿宋_GB2312" w:eastAsia="仿宋_GB2312"/>
              </w:rPr>
              <w:t>响应文件封面 已标价工程量清单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投标文件含有采购人不能接受的附加条件的，其投标文件作为无效处理。</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法律、法规</w:t>
            </w:r>
          </w:p>
        </w:tc>
        <w:tc>
          <w:tcPr>
            <w:tcW w:type="dxa" w:w="3322"/>
          </w:tcPr>
          <w:p>
            <w:pPr>
              <w:pStyle w:val="null3"/>
            </w:pPr>
            <w:r>
              <w:rPr>
                <w:rFonts w:ascii="仿宋_GB2312" w:hAnsi="仿宋_GB2312" w:cs="仿宋_GB2312" w:eastAsia="仿宋_GB2312"/>
              </w:rPr>
              <w:t>存在法律、法规和招标文件规定的其他无效情形，其投标文件作为无效处理。</w:t>
            </w:r>
          </w:p>
        </w:tc>
        <w:tc>
          <w:tcPr>
            <w:tcW w:type="dxa" w:w="1661"/>
          </w:tcPr>
          <w:p>
            <w:pPr>
              <w:pStyle w:val="null3"/>
            </w:pPr>
            <w:r>
              <w:rPr>
                <w:rFonts w:ascii="仿宋_GB2312" w:hAnsi="仿宋_GB2312" w:cs="仿宋_GB2312" w:eastAsia="仿宋_GB2312"/>
              </w:rPr>
              <w:t>响应文件封面</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商务部分-业绩</w:t>
            </w:r>
          </w:p>
        </w:tc>
        <w:tc>
          <w:tcPr>
            <w:tcW w:type="dxa" w:w="2492"/>
          </w:tcPr>
          <w:p>
            <w:pPr>
              <w:pStyle w:val="null3"/>
            </w:pPr>
            <w:r>
              <w:rPr>
                <w:rFonts w:ascii="仿宋_GB2312" w:hAnsi="仿宋_GB2312" w:cs="仿宋_GB2312" w:eastAsia="仿宋_GB2312"/>
              </w:rPr>
              <w:t>投标人自2023年1月1日至投标截止日止（以甲方合同签订时间为准）具有类似业绩的，每提供一个得3分，本项最高计15分，未提供不计分。 注：需同时提供中标通知书或合同业绩复印件关键页（须包含但不限于合同内容或合同采购清单、签订时间、签字盖章关键页等）及对应发票（合同期内任意一张即可）复印件。不提供或缺项不得分。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技术部分-施工组织方案</w:t>
            </w:r>
          </w:p>
        </w:tc>
        <w:tc>
          <w:tcPr>
            <w:tcW w:type="dxa" w:w="2492"/>
          </w:tcPr>
          <w:p>
            <w:pPr>
              <w:pStyle w:val="null3"/>
            </w:pPr>
            <w:r>
              <w:rPr>
                <w:rFonts w:ascii="仿宋_GB2312" w:hAnsi="仿宋_GB2312" w:cs="仿宋_GB2312" w:eastAsia="仿宋_GB2312"/>
              </w:rPr>
              <w:t>一、评审内容 针对本项目提供详细的施工组织方案包括但不限于①项目经理和项目部组成；②施工进度表或施工网络图；③确保工期的技术组织措施；④施工方案；⑤确保工程质量技术组织措施；⑥确保安全施工组织措施；⑦主要机具、设备、人员配备情况；⑧采用新技术、新工艺对提供工程质量、缩短工期、降低造价的可行性等内容。 二、评审标准 1、完善性：方案必须全面，对评审内容中的各项要求有详细阐述； 2、可实施性：切合本项目实际情况，提出步骤清晰、合理的方案； 3、针对性：方案能够紧扣项目实际情况，内容科学合理。 上述8项评审内容全部满足评审标准得40分，每有一个评审内容缺项扣5分，每有一项评审内容存在缺陷，扣1分，扣完为止。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技术部分-安全文明 施工措施</w:t>
            </w:r>
          </w:p>
        </w:tc>
        <w:tc>
          <w:tcPr>
            <w:tcW w:type="dxa" w:w="2492"/>
          </w:tcPr>
          <w:p>
            <w:pPr>
              <w:pStyle w:val="null3"/>
            </w:pPr>
            <w:r>
              <w:rPr>
                <w:rFonts w:ascii="仿宋_GB2312" w:hAnsi="仿宋_GB2312" w:cs="仿宋_GB2312" w:eastAsia="仿宋_GB2312"/>
              </w:rPr>
              <w:t>一、评审内容 针对本项目编制具体可行的安全文明施工措施。内容包含：①施工现场环境保护措施②文明施工及安全防护措施。 1、完整性：方案必须全面，对评审内容中的各项要求有详细描述； 2、落实性：切合项目具体情况，提出责任明确、要求具体的方案； 3、针对性：方案能够紧扣项目实际情况， 内容科学合理。 根据投标人所述方案的完整性、可实施性、针对性横向比对自主赋分： （1）方案完整、可实施性较强、针对性较强(6-9]分； （2）方案比较完整性、可实施性一般、针对性一般(3-6]分； （3）方案不完整性、可实施性不强、针对性不强(0-3]分； 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技术部分-服务承诺</w:t>
            </w:r>
          </w:p>
        </w:tc>
        <w:tc>
          <w:tcPr>
            <w:tcW w:type="dxa" w:w="2492"/>
          </w:tcPr>
          <w:p>
            <w:pPr>
              <w:pStyle w:val="null3"/>
            </w:pPr>
            <w:r>
              <w:rPr>
                <w:rFonts w:ascii="仿宋_GB2312" w:hAnsi="仿宋_GB2312" w:cs="仿宋_GB2312" w:eastAsia="仿宋_GB2312"/>
              </w:rPr>
              <w:t>一、评审内容 针对本项目提供详细完善的服务承诺，包括但不限于①服务承诺；②针对突发情况的应急方案；③针对本项目的增值服务。 二、评审标准 1、完善性：方案必须全面，对评审内容中的各项要求有详细阐述； 2、可实施性：切合本项目实际情况，提出步骤清晰、合理的方案； 3、针对性：方案能够紧扣项目实际情况，内容科学合理。 上述3项评审内容全部满足评审标准得6分，每有一个评审内容缺项扣2分，每有一项评审内容存在缺陷，扣1分，扣完为止。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1.本次磋商有磋商最高限价。供应商的磋商总价超过磋商最高限价的视为废标,不再参与下一步评审。 2.有效最低报价为基准价。 3.按（有效最低报价/有效磋商报价）×30的公式计算其得分。 4.磋商报价不完整的,不进入评标标准价的计算,本项得0分。 5.各供应商的磋商最终报价参与价格分评审。</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详见附件：供应商提供的资格证明文件.docx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详见附件：施工合同-半坡.docx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