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版本号：ZMZB2024SZY-256R20260427001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病案数字化翻拍服务一期项目(二次)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ZMZB2024SZY-256R</w:t>
      </w:r>
      <w:r>
        <w:br/>
      </w:r>
      <w:r>
        <w:br/>
      </w:r>
      <w:r>
        <w:br/>
      </w:r>
    </w:p>
    <w:p>
      <w:pPr>
        <w:pStyle w:val="null3"/>
        <w:jc w:val="center"/>
        <w:outlineLvl w:val="2"/>
      </w:pPr>
      <w:r>
        <w:rPr>
          <w:rFonts w:ascii="仿宋_GB2312" w:hAnsi="仿宋_GB2312" w:cs="仿宋_GB2312" w:eastAsia="仿宋_GB2312"/>
          <w:sz w:val="28"/>
          <w:b/>
        </w:rPr>
        <w:t>西安市中医医院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西安市中医医院</w:t>
      </w:r>
      <w:r>
        <w:rPr>
          <w:rFonts w:ascii="仿宋_GB2312" w:hAnsi="仿宋_GB2312" w:cs="仿宋_GB2312" w:eastAsia="仿宋_GB2312"/>
        </w:rPr>
        <w:t>委托，拟对</w:t>
      </w:r>
      <w:r>
        <w:rPr>
          <w:rFonts w:ascii="仿宋_GB2312" w:hAnsi="仿宋_GB2312" w:cs="仿宋_GB2312" w:eastAsia="仿宋_GB2312"/>
        </w:rPr>
        <w:t>病案数字化翻拍服务一期项目(二次)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ZMZB2024SZY-256R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病案数字化翻拍服务一期项目(二次)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病案数字化翻拍服务一期项目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采购包1（病案数字化翻拍服务一期）：属于专门面向中小企业采购。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 3 年内在经营活动中没有重大违法记录的书面声明：参加政府采购活动前 3 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8、供应商非西安市中医医院职工及其亲属投资开办或控股的企业：供应商非西安市中医医院职工及其亲属投资开办或控股的企业</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薛文元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029-89626819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80%收取，按照成交金额差额定率累进法计算，由中标/成交单位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西安市中医医院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按采购文件和响应文件执行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病案数字化翻拍服务一期项目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病案数字化翻拍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标的名称：病案数字化翻拍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4"/>
                <w:b/>
              </w:rPr>
              <w:t>服务内容</w:t>
            </w:r>
          </w:p>
          <w:p>
            <w:pPr>
              <w:pStyle w:val="null3"/>
              <w:jc w:val="left"/>
            </w:pPr>
            <w:r>
              <w:rPr>
                <w:rFonts w:ascii="仿宋_GB2312" w:hAnsi="仿宋_GB2312" w:cs="仿宋_GB2312" w:eastAsia="仿宋_GB2312"/>
                <w:sz w:val="24"/>
              </w:rPr>
              <w:t>1.病案制作：在医院指定地点对原始纸质病案</w:t>
            </w:r>
            <w:r>
              <w:rPr>
                <w:rFonts w:ascii="仿宋_GB2312" w:hAnsi="仿宋_GB2312" w:cs="仿宋_GB2312" w:eastAsia="仿宋_GB2312"/>
                <w:sz w:val="24"/>
              </w:rPr>
              <w:t>采用病案数字化管理系统</w:t>
            </w:r>
            <w:r>
              <w:rPr>
                <w:rFonts w:ascii="仿宋_GB2312" w:hAnsi="仿宋_GB2312" w:cs="仿宋_GB2312" w:eastAsia="仿宋_GB2312"/>
                <w:sz w:val="24"/>
              </w:rPr>
              <w:t>，应用数码技术分页数字化加工制作，形成数码图像。</w:t>
            </w:r>
          </w:p>
          <w:p>
            <w:pPr>
              <w:pStyle w:val="null3"/>
              <w:jc w:val="left"/>
            </w:pPr>
            <w:r>
              <w:rPr>
                <w:rFonts w:ascii="仿宋_GB2312" w:hAnsi="仿宋_GB2312" w:cs="仿宋_GB2312" w:eastAsia="仿宋_GB2312"/>
                <w:sz w:val="24"/>
              </w:rPr>
              <w:t>2.病案质检：乙方派员逐页检查病案拍摄图像，力求使得病案图像清晰、完整，对于未能达到乙方质量标准的图像返回翻拍员重拍。</w:t>
            </w:r>
          </w:p>
          <w:p>
            <w:pPr>
              <w:pStyle w:val="null3"/>
              <w:jc w:val="left"/>
            </w:pPr>
            <w:r>
              <w:rPr>
                <w:rFonts w:ascii="仿宋_GB2312" w:hAnsi="仿宋_GB2312" w:cs="仿宋_GB2312" w:eastAsia="仿宋_GB2312"/>
                <w:sz w:val="24"/>
              </w:rPr>
              <w:t>3.病案库条码定位：将已数字化的病案利用条码实现对纸质病案存放情况的追溯。</w:t>
            </w:r>
          </w:p>
          <w:p>
            <w:pPr>
              <w:pStyle w:val="null3"/>
              <w:jc w:val="both"/>
            </w:pPr>
            <w:r>
              <w:rPr>
                <w:rFonts w:ascii="仿宋_GB2312" w:hAnsi="仿宋_GB2312" w:cs="仿宋_GB2312" w:eastAsia="仿宋_GB2312"/>
                <w:sz w:val="24"/>
              </w:rPr>
              <w:t>4.单页报价包含病案数字化所有相关服务费用。</w:t>
            </w:r>
          </w:p>
          <w:p>
            <w:pPr>
              <w:pStyle w:val="null3"/>
              <w:jc w:val="both"/>
            </w:pPr>
            <w:r>
              <w:rPr>
                <w:rFonts w:ascii="仿宋_GB2312" w:hAnsi="仿宋_GB2312" w:cs="仿宋_GB2312" w:eastAsia="仿宋_GB2312"/>
                <w:sz w:val="24"/>
                <w:b/>
              </w:rPr>
              <w:t>病案数字化管理系统功能要求</w:t>
            </w:r>
          </w:p>
          <w:tbl>
            <w:tblPr>
              <w:tblInd w:type="dxa" w:w="210"/>
              <w:tblBorders>
                <w:top w:val="none" w:color="000000" w:sz="4"/>
                <w:left w:val="none" w:color="000000" w:sz="4"/>
                <w:bottom w:val="none" w:color="000000" w:sz="4"/>
                <w:right w:val="none" w:color="000000" w:sz="4"/>
                <w:insideH w:val="none"/>
                <w:insideV w:val="none"/>
              </w:tblBorders>
            </w:tblPr>
            <w:tblGrid>
              <w:gridCol w:w="222"/>
              <w:gridCol w:w="255"/>
              <w:gridCol w:w="212"/>
              <w:gridCol w:w="1864"/>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序号</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功能要求</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功能名称</w:t>
                  </w:r>
                </w:p>
              </w:tc>
              <w:tc>
                <w:tcPr>
                  <w:tcW w:type="dxa" w:w="1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功能详情</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数字化加工</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病案接收</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实现患者基本信息的获取与录入（</w:t>
                  </w:r>
                  <w:r>
                    <w:rPr>
                      <w:rFonts w:ascii="仿宋_GB2312" w:hAnsi="仿宋_GB2312" w:cs="仿宋_GB2312" w:eastAsia="仿宋_GB2312"/>
                      <w:sz w:val="21"/>
                      <w:color w:val="000000"/>
                    </w:rPr>
                    <w:t>包括患者姓名、病案号、出院日期等</w:t>
                  </w:r>
                  <w:r>
                    <w:rPr>
                      <w:rFonts w:ascii="仿宋_GB2312" w:hAnsi="仿宋_GB2312" w:cs="仿宋_GB2312" w:eastAsia="仿宋_GB2312"/>
                      <w:sz w:val="21"/>
                      <w:color w:val="000000"/>
                    </w:rPr>
                    <w:t>）</w:t>
                  </w:r>
                  <w:r>
                    <w:rPr>
                      <w:rFonts w:ascii="仿宋_GB2312" w:hAnsi="仿宋_GB2312" w:cs="仿宋_GB2312" w:eastAsia="仿宋_GB2312"/>
                      <w:sz w:val="21"/>
                      <w:color w:val="000000"/>
                    </w:rPr>
                    <w:t>，接收并记录交接的病案信息。</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2</w:t>
                  </w:r>
                </w:p>
              </w:tc>
              <w:tc>
                <w:tcPr>
                  <w:tcW w:type="dxa" w:w="255"/>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数据补录</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手动录入患者基本信息和病案首页信息，也可批量导入患者信息</w:t>
                  </w:r>
                  <w:r>
                    <w:rPr>
                      <w:rFonts w:ascii="仿宋_GB2312" w:hAnsi="仿宋_GB2312" w:cs="仿宋_GB2312" w:eastAsia="仿宋_GB2312"/>
                      <w:sz w:val="21"/>
                      <w:color w:val="000000"/>
                    </w:rPr>
                    <w:t>。</w:t>
                  </w:r>
                </w:p>
                <w:p>
                  <w:pPr>
                    <w:pStyle w:val="null3"/>
                    <w:jc w:val="left"/>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3</w:t>
                  </w:r>
                </w:p>
              </w:tc>
              <w:tc>
                <w:tcPr>
                  <w:tcW w:type="dxa" w:w="255"/>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病案加工</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▲具备黑白、彩色加工模式，能够进行无限制的删除和重拍操作，灵活插页，插页后页码自动进行重排序。</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4</w:t>
                  </w:r>
                </w:p>
              </w:tc>
              <w:tc>
                <w:tcPr>
                  <w:tcW w:type="dxa" w:w="255"/>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操作记录</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对加工过程需要有日志记录，能追踪操作员，便于管理。</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5</w:t>
                  </w:r>
                </w:p>
              </w:tc>
              <w:tc>
                <w:tcPr>
                  <w:tcW w:type="dxa" w:w="255"/>
                  <w:vMerge/>
                  <w:tcBorders>
                    <w:top w:val="none" w:color="000000" w:sz="4"/>
                    <w:left w:val="none" w:color="000000" w:sz="4"/>
                    <w:bottom w:val="single" w:color="000000" w:sz="4"/>
                    <w:right w:val="single" w:color="000000" w:sz="4"/>
                  </w:tcBorders>
                </w:tcP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质量审核</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▲对病案加工质量进行审核，登记未通过原因，操作人员根据个人信息，查看已质控不合格病历，查看不合格原因然后进行追加处理。</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6</w:t>
                  </w:r>
                </w:p>
              </w:tc>
              <w:tc>
                <w:tcPr>
                  <w:tcW w:type="dxa" w:w="255"/>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自动化检查及常规逻辑判断质量控制，质量控制规则可结合医院实际情况维护扩展，如手术记录</w:t>
                  </w:r>
                  <w:r>
                    <w:rPr>
                      <w:rFonts w:ascii="仿宋_GB2312" w:hAnsi="仿宋_GB2312" w:cs="仿宋_GB2312" w:eastAsia="仿宋_GB2312"/>
                      <w:sz w:val="21"/>
                      <w:color w:val="000000"/>
                    </w:rPr>
                    <w:t>中</w:t>
                  </w:r>
                  <w:r>
                    <w:rPr>
                      <w:rFonts w:ascii="仿宋_GB2312" w:hAnsi="仿宋_GB2312" w:cs="仿宋_GB2312" w:eastAsia="仿宋_GB2312"/>
                      <w:sz w:val="21"/>
                      <w:color w:val="000000"/>
                    </w:rPr>
                    <w:t>是否包含麻醉记录等。</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w:t>
                  </w:r>
                </w:p>
              </w:tc>
              <w:tc>
                <w:tcPr>
                  <w:tcW w:type="dxa" w:w="255"/>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抽查病案加工的结果，按组合条件进行抽查，能设置抽查数量或按比例随机抽查。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8</w:t>
                  </w:r>
                </w:p>
              </w:tc>
              <w:tc>
                <w:tcPr>
                  <w:tcW w:type="dxa" w:w="255"/>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数字化加工图片基础处理，如纠偏、旋转、替扫、插扫功能等。保证拍出的图片清晰，图片要求</w:t>
                  </w:r>
                  <w:r>
                    <w:rPr>
                      <w:rFonts w:ascii="仿宋_GB2312" w:hAnsi="仿宋_GB2312" w:cs="仿宋_GB2312" w:eastAsia="仿宋_GB2312"/>
                      <w:sz w:val="21"/>
                      <w:color w:val="000000"/>
                    </w:rPr>
                    <w:t>A4幅画。在保障清晰度的前提下，对图片大小进行最优</w:t>
                  </w:r>
                  <w:r>
                    <w:rPr>
                      <w:rFonts w:ascii="仿宋_GB2312" w:hAnsi="仿宋_GB2312" w:cs="仿宋_GB2312" w:eastAsia="仿宋_GB2312"/>
                      <w:sz w:val="21"/>
                      <w:color w:val="000000"/>
                    </w:rPr>
                    <w:t>压缩</w:t>
                  </w:r>
                  <w:r>
                    <w:rPr>
                      <w:rFonts w:ascii="仿宋_GB2312" w:hAnsi="仿宋_GB2312" w:cs="仿宋_GB2312" w:eastAsia="仿宋_GB2312"/>
                      <w:sz w:val="21"/>
                      <w:color w:val="000000"/>
                    </w:rPr>
                    <w:t>，</w:t>
                  </w:r>
                  <w:r>
                    <w:rPr>
                      <w:rFonts w:ascii="仿宋_GB2312" w:hAnsi="仿宋_GB2312" w:cs="仿宋_GB2312" w:eastAsia="仿宋_GB2312"/>
                      <w:sz w:val="21"/>
                      <w:color w:val="000000"/>
                    </w:rPr>
                    <w:t>压缩后图像像素不低于</w:t>
                  </w:r>
                  <w:r>
                    <w:rPr>
                      <w:rFonts w:ascii="仿宋_GB2312" w:hAnsi="仿宋_GB2312" w:cs="仿宋_GB2312" w:eastAsia="仿宋_GB2312"/>
                      <w:sz w:val="21"/>
                      <w:color w:val="000000"/>
                    </w:rPr>
                    <w:t>300万</w:t>
                  </w:r>
                  <w:r>
                    <w:rPr>
                      <w:rFonts w:ascii="仿宋_GB2312" w:hAnsi="仿宋_GB2312" w:cs="仿宋_GB2312" w:eastAsia="仿宋_GB2312"/>
                      <w:sz w:val="21"/>
                      <w:color w:val="000000"/>
                    </w:rPr>
                    <w:t>且能够参数控制图片的像素和压缩比例。</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9</w:t>
                  </w:r>
                </w:p>
              </w:tc>
              <w:tc>
                <w:tcPr>
                  <w:tcW w:type="dxa" w:w="255"/>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病案装箱</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▲对加工合格的病案进行装箱操作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使用条形码技术装箱保存</w:t>
                  </w:r>
                  <w:r>
                    <w:rPr>
                      <w:rFonts w:ascii="仿宋_GB2312" w:hAnsi="仿宋_GB2312" w:cs="仿宋_GB2312" w:eastAsia="仿宋_GB2312"/>
                      <w:sz w:val="21"/>
                      <w:color w:val="000000"/>
                    </w:rPr>
                    <w:t>，</w:t>
                  </w:r>
                  <w:r>
                    <w:rPr>
                      <w:rFonts w:ascii="仿宋_GB2312" w:hAnsi="仿宋_GB2312" w:cs="仿宋_GB2312" w:eastAsia="仿宋_GB2312"/>
                      <w:sz w:val="21"/>
                      <w:color w:val="000000"/>
                    </w:rPr>
                    <w:t>定位管理</w:t>
                  </w:r>
                  <w:r>
                    <w:rPr>
                      <w:rFonts w:ascii="仿宋_GB2312" w:hAnsi="仿宋_GB2312" w:cs="仿宋_GB2312" w:eastAsia="仿宋_GB2312"/>
                      <w:sz w:val="21"/>
                      <w:color w:val="000000"/>
                    </w:rPr>
                    <w:t>。</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10</w:t>
                  </w:r>
                </w:p>
              </w:tc>
              <w:tc>
                <w:tcPr>
                  <w:tcW w:type="dxa" w:w="255"/>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病案入库</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能够自由的维护库房和货架。入库的时候将库房和货架，货架和病案箱，病案箱和病案做关联，便于查询。</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11</w:t>
                  </w:r>
                </w:p>
              </w:tc>
              <w:tc>
                <w:tcPr>
                  <w:tcW w:type="dxa" w:w="255"/>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数字化报表</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个性化生成病案加工数据、病案装箱入库数据相关报表</w:t>
                  </w:r>
                  <w:r>
                    <w:rPr>
                      <w:rFonts w:ascii="仿宋_GB2312" w:hAnsi="仿宋_GB2312" w:cs="仿宋_GB2312" w:eastAsia="仿宋_GB2312"/>
                      <w:sz w:val="21"/>
                      <w:color w:val="000000"/>
                    </w:rPr>
                    <w:t>。</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12</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流程示踪管理</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病案示踪管理</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▲具备条码打印功能，以条码技术实现对原始纸质病案资料的全流程追溯、示踪</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13</w:t>
                  </w:r>
                </w:p>
              </w:tc>
              <w:tc>
                <w:tcPr>
                  <w:tcW w:type="dxa" w:w="255"/>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具备定义审核、</w:t>
                  </w:r>
                  <w:r>
                    <w:rPr>
                      <w:rFonts w:ascii="仿宋_GB2312" w:hAnsi="仿宋_GB2312" w:cs="仿宋_GB2312" w:eastAsia="仿宋_GB2312"/>
                      <w:sz w:val="21"/>
                      <w:color w:val="000000"/>
                    </w:rPr>
                    <w:t>加工</w:t>
                  </w:r>
                  <w:r>
                    <w:rPr>
                      <w:rFonts w:ascii="仿宋_GB2312" w:hAnsi="仿宋_GB2312" w:cs="仿宋_GB2312" w:eastAsia="仿宋_GB2312"/>
                      <w:sz w:val="21"/>
                      <w:color w:val="000000"/>
                    </w:rPr>
                    <w:t>等节点必选项校验，系统判断该本病案是否审核、</w:t>
                  </w:r>
                  <w:r>
                    <w:rPr>
                      <w:rFonts w:ascii="仿宋_GB2312" w:hAnsi="仿宋_GB2312" w:cs="仿宋_GB2312" w:eastAsia="仿宋_GB2312"/>
                      <w:sz w:val="21"/>
                      <w:color w:val="000000"/>
                    </w:rPr>
                    <w:t>加工</w:t>
                  </w:r>
                  <w:r>
                    <w:rPr>
                      <w:rFonts w:ascii="仿宋_GB2312" w:hAnsi="仿宋_GB2312" w:cs="仿宋_GB2312" w:eastAsia="仿宋_GB2312"/>
                      <w:sz w:val="21"/>
                      <w:color w:val="000000"/>
                    </w:rPr>
                    <w:t>，若未检测到示踪节点，则系统无法对该本病案进行</w:t>
                  </w:r>
                  <w:r>
                    <w:rPr>
                      <w:rFonts w:ascii="仿宋_GB2312" w:hAnsi="仿宋_GB2312" w:cs="仿宋_GB2312" w:eastAsia="仿宋_GB2312"/>
                      <w:sz w:val="21"/>
                      <w:color w:val="000000"/>
                    </w:rPr>
                    <w:t>后续</w:t>
                  </w:r>
                  <w:r>
                    <w:rPr>
                      <w:rFonts w:ascii="仿宋_GB2312" w:hAnsi="仿宋_GB2312" w:cs="仿宋_GB2312" w:eastAsia="仿宋_GB2312"/>
                      <w:sz w:val="21"/>
                      <w:color w:val="000000"/>
                    </w:rPr>
                    <w:t>操作。</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14</w:t>
                  </w:r>
                </w:p>
              </w:tc>
              <w:tc>
                <w:tcPr>
                  <w:tcW w:type="dxa" w:w="255"/>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病案示踪</w:t>
                  </w:r>
                  <w:r>
                    <w:rPr>
                      <w:rFonts w:ascii="仿宋_GB2312" w:hAnsi="仿宋_GB2312" w:cs="仿宋_GB2312" w:eastAsia="仿宋_GB2312"/>
                      <w:sz w:val="21"/>
                      <w:color w:val="000000"/>
                    </w:rPr>
                    <w:t>日志</w:t>
                  </w:r>
                </w:p>
              </w:tc>
              <w:tc>
                <w:tcPr>
                  <w:tcW w:type="dxa" w:w="1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▲对流转的病案进行追踪，查看病案状态、病案全流程示踪，展示病案流转全流程</w:t>
                  </w:r>
                  <w:r>
                    <w:rPr>
                      <w:rFonts w:ascii="仿宋_GB2312" w:hAnsi="仿宋_GB2312" w:cs="仿宋_GB2312" w:eastAsia="仿宋_GB2312"/>
                      <w:sz w:val="21"/>
                      <w:color w:val="000000"/>
                    </w:rPr>
                    <w:t>。</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15</w:t>
                  </w:r>
                </w:p>
              </w:tc>
              <w:tc>
                <w:tcPr>
                  <w:tcW w:type="dxa" w:w="2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数字化应用</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病案浏览</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管理人员可检索浏览全院病案，可录入浏览理由和申请人，无需申请审批流程即可查看病历，保留浏览记录。</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16</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根据浏览理由、申请人、科室、时间等查阅浏览历史记录，调阅记录可导出。</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17</w:t>
                  </w:r>
                </w:p>
              </w:tc>
              <w:tc>
                <w:tcPr>
                  <w:tcW w:type="dxa" w:w="255"/>
                  <w:vMerge/>
                  <w:tcBorders>
                    <w:top w:val="none" w:color="000000" w:sz="4"/>
                    <w:left w:val="none" w:color="000000" w:sz="4"/>
                    <w:bottom w:val="none" w:color="000000" w:sz="4"/>
                    <w:right w:val="single" w:color="000000" w:sz="4"/>
                  </w:tcBorders>
                </w:tcP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病案借阅</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▲临床申请借阅，病案室审批，若驳回需要填写原因，只有审批科室才能看到，到规定时间节点系统能自动收回。</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18</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通过借阅审批的模式，在系统中浏览数字化后的病历，借阅实现按病历分类进行借阅。</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19</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▲具备脱敏借阅功能，对病历中的敏感内容进行自动遮盖。</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20</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根据借阅理由、申请人、科室、时间等查阅借阅历史记录，借阅记录可导出。</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21</w:t>
                  </w:r>
                </w:p>
              </w:tc>
              <w:tc>
                <w:tcPr>
                  <w:tcW w:type="dxa" w:w="255"/>
                  <w:vMerge/>
                  <w:tcBorders>
                    <w:top w:val="none" w:color="000000" w:sz="4"/>
                    <w:left w:val="none" w:color="000000" w:sz="4"/>
                    <w:bottom w:val="none" w:color="000000" w:sz="4"/>
                    <w:right w:val="single" w:color="000000" w:sz="4"/>
                  </w:tcBorders>
                </w:tcP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病案导出</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可以通过多种条件进行病案检索，病案导出时自动设置文字水印、签章水印、编目标签；</w:t>
                  </w:r>
                  <w:r>
                    <w:rPr>
                      <w:rFonts w:ascii="仿宋_GB2312" w:hAnsi="仿宋_GB2312" w:cs="仿宋_GB2312" w:eastAsia="仿宋_GB2312"/>
                      <w:sz w:val="21"/>
                      <w:color w:val="000000"/>
                    </w:rPr>
                    <w:t>包括但不限于</w:t>
                  </w:r>
                  <w:r>
                    <w:rPr>
                      <w:rFonts w:ascii="仿宋_GB2312" w:hAnsi="仿宋_GB2312" w:cs="仿宋_GB2312" w:eastAsia="仿宋_GB2312"/>
                      <w:sz w:val="21"/>
                      <w:color w:val="000000"/>
                    </w:rPr>
                    <w:t>PDF格式。</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22</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根据导出理由、内容等查阅病案导出历史记录，记录可导出。</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23</w:t>
                  </w:r>
                </w:p>
              </w:tc>
              <w:tc>
                <w:tcPr>
                  <w:tcW w:type="dxa" w:w="255"/>
                  <w:vMerge/>
                  <w:tcBorders>
                    <w:top w:val="none" w:color="000000" w:sz="4"/>
                    <w:left w:val="none" w:color="000000" w:sz="4"/>
                    <w:bottom w:val="none" w:color="000000" w:sz="4"/>
                    <w:right w:val="single" w:color="000000" w:sz="4"/>
                  </w:tcBorders>
                </w:tcP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病案打印</w:t>
                  </w:r>
                </w:p>
              </w:tc>
              <w:tc>
                <w:tcPr>
                  <w:tcW w:type="dxa" w:w="18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▲根据配置的打印套餐进行一键打印，也实现打印人关于此套餐中不需要的报告单勾选取消。</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24</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25</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在打印界面进行申请人的身份信息录入，可拍摄户口本、身份证、医保卡等证件并进行留存。</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26</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可进行费用总额的计算，并可</w:t>
                  </w:r>
                  <w:r>
                    <w:rPr>
                      <w:rFonts w:ascii="仿宋_GB2312" w:hAnsi="仿宋_GB2312" w:cs="仿宋_GB2312" w:eastAsia="仿宋_GB2312"/>
                      <w:sz w:val="21"/>
                      <w:color w:val="000000"/>
                    </w:rPr>
                    <w:t>自行</w:t>
                  </w:r>
                  <w:r>
                    <w:rPr>
                      <w:rFonts w:ascii="仿宋_GB2312" w:hAnsi="仿宋_GB2312" w:cs="仿宋_GB2312" w:eastAsia="仿宋_GB2312"/>
                      <w:sz w:val="21"/>
                      <w:color w:val="000000"/>
                    </w:rPr>
                    <w:t>调整实际收费</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27</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▲敏感病历控制：死亡、纠纷、未结清、干部保健、未质控等病历设置打印权限，未经管理员授权禁止查询或打印。</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28</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查询病案打印历史记录，能够自定义搜索查询，查看具体打印详细信息，导出打印记录。</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29</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统计打印时间及科室的病案打印次数、份数、页数。</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30</w:t>
                  </w:r>
                </w:p>
              </w:tc>
              <w:tc>
                <w:tcPr>
                  <w:tcW w:type="dxa" w:w="255"/>
                  <w:vMerge/>
                  <w:tcBorders>
                    <w:top w:val="none" w:color="000000" w:sz="4"/>
                    <w:left w:val="none" w:color="000000" w:sz="4"/>
                    <w:bottom w:val="none" w:color="000000" w:sz="4"/>
                    <w:right w:val="single" w:color="000000" w:sz="4"/>
                  </w:tcBorders>
                </w:tcP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病案封存</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▲对于发生纠纷的病案可进行封存，封存后不得进行修改、借阅等操作。</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31</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可进行病案封存期间禁止借阅、浏览、打印等操作。</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32</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封存</w:t>
                  </w:r>
                  <w:r>
                    <w:rPr>
                      <w:rFonts w:ascii="仿宋_GB2312" w:hAnsi="仿宋_GB2312" w:cs="仿宋_GB2312" w:eastAsia="仿宋_GB2312"/>
                      <w:sz w:val="21"/>
                      <w:color w:val="000000"/>
                    </w:rPr>
                    <w:t>/解封申请时具备上传相关附件及拍摄的功能。</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33</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自定义检索全部封存记录，可对已封存病案进行解封申请。</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34</w:t>
                  </w:r>
                </w:p>
              </w:tc>
              <w:tc>
                <w:tcPr>
                  <w:tcW w:type="dxa" w:w="255"/>
                  <w:vMerge/>
                  <w:tcBorders>
                    <w:top w:val="none" w:color="000000" w:sz="4"/>
                    <w:left w:val="none" w:color="000000" w:sz="4"/>
                    <w:bottom w:val="none" w:color="000000" w:sz="4"/>
                    <w:right w:val="single" w:color="000000" w:sz="4"/>
                  </w:tcBorders>
                </w:tcP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病案检索</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关键词搜索，选择搜索分类（病案号</w:t>
                  </w:r>
                  <w:r>
                    <w:rPr>
                      <w:rFonts w:ascii="仿宋_GB2312" w:hAnsi="仿宋_GB2312" w:cs="仿宋_GB2312" w:eastAsia="仿宋_GB2312"/>
                      <w:sz w:val="21"/>
                      <w:color w:val="000000"/>
                    </w:rPr>
                    <w:t>/疾病/手术/科室/病人姓名/医生等）</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35</w:t>
                  </w:r>
                </w:p>
              </w:tc>
              <w:tc>
                <w:tcPr>
                  <w:tcW w:type="dxa" w:w="255"/>
                  <w:vMerge/>
                  <w:tcBorders>
                    <w:top w:val="none" w:color="000000" w:sz="4"/>
                    <w:left w:val="none" w:color="000000" w:sz="4"/>
                    <w:bottom w:val="non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▲可进行多种条件复杂检索，按照列出的各种查询条件对病案进行查询</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36</w:t>
                  </w:r>
                </w:p>
              </w:tc>
              <w:tc>
                <w:tcPr>
                  <w:tcW w:type="dxa" w:w="2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系统管理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菜单管理</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▲管理员可进行自定义系统菜单，根据医院实际需求修改菜单显示模块</w:t>
                  </w:r>
                  <w:r>
                    <w:rPr>
                      <w:rFonts w:ascii="仿宋_GB2312" w:hAnsi="仿宋_GB2312" w:cs="仿宋_GB2312" w:eastAsia="仿宋_GB2312"/>
                      <w:sz w:val="21"/>
                      <w:color w:val="000000"/>
                    </w:rPr>
                    <w:t>。</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37</w:t>
                  </w:r>
                </w:p>
              </w:tc>
              <w:tc>
                <w:tcPr>
                  <w:tcW w:type="dxa" w:w="255"/>
                  <w:vMerge/>
                  <w:tcBorders>
                    <w:top w:val="singl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用户管理</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用户权限分配，可通过部门权限、角色权限、菜单权限、页面操作权限对用户权限进行控制、分配和管理。</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38</w:t>
                  </w:r>
                </w:p>
              </w:tc>
              <w:tc>
                <w:tcPr>
                  <w:tcW w:type="dxa" w:w="255"/>
                  <w:vMerge/>
                  <w:tcBorders>
                    <w:top w:val="singl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科室管理</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科室自定义权限设置。</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39</w:t>
                  </w:r>
                </w:p>
              </w:tc>
              <w:tc>
                <w:tcPr>
                  <w:tcW w:type="dxa" w:w="255"/>
                  <w:vMerge/>
                  <w:tcBorders>
                    <w:top w:val="singl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角色管理</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自定义角色的编辑以及角色数据权限设置和菜单分配</w:t>
                  </w:r>
                  <w:r>
                    <w:rPr>
                      <w:rFonts w:ascii="仿宋_GB2312" w:hAnsi="仿宋_GB2312" w:cs="仿宋_GB2312" w:eastAsia="仿宋_GB2312"/>
                      <w:sz w:val="21"/>
                      <w:color w:val="000000"/>
                    </w:rPr>
                    <w:t>。</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40</w:t>
                  </w:r>
                </w:p>
              </w:tc>
              <w:tc>
                <w:tcPr>
                  <w:tcW w:type="dxa" w:w="255"/>
                  <w:vMerge/>
                  <w:tcBorders>
                    <w:top w:val="singl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数据同步</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通过集成平台</w:t>
                  </w:r>
                  <w:r>
                    <w:rPr>
                      <w:rFonts w:ascii="仿宋_GB2312" w:hAnsi="仿宋_GB2312" w:cs="仿宋_GB2312" w:eastAsia="仿宋_GB2312"/>
                      <w:sz w:val="21"/>
                      <w:color w:val="000000"/>
                    </w:rPr>
                    <w:t>同步获取</w:t>
                  </w:r>
                  <w:r>
                    <w:rPr>
                      <w:rFonts w:ascii="仿宋_GB2312" w:hAnsi="仿宋_GB2312" w:cs="仿宋_GB2312" w:eastAsia="仿宋_GB2312"/>
                      <w:sz w:val="21"/>
                      <w:color w:val="000000"/>
                    </w:rPr>
                    <w:t>HIS用户账号、科室信息、患者信息等</w:t>
                  </w:r>
                  <w:r>
                    <w:rPr>
                      <w:rFonts w:ascii="仿宋_GB2312" w:hAnsi="仿宋_GB2312" w:cs="仿宋_GB2312" w:eastAsia="仿宋_GB2312"/>
                      <w:sz w:val="21"/>
                      <w:color w:val="000000"/>
                    </w:rPr>
                    <w:t>。</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41</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死亡、非医嘱离院管理</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费用清单</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导入费用结算清单并合并导出病历文件</w:t>
                  </w:r>
                  <w:r>
                    <w:rPr>
                      <w:rFonts w:ascii="仿宋_GB2312" w:hAnsi="仿宋_GB2312" w:cs="仿宋_GB2312" w:eastAsia="仿宋_GB2312"/>
                      <w:sz w:val="21"/>
                      <w:color w:val="000000"/>
                    </w:rPr>
                    <w:t>。</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42</w:t>
                  </w:r>
                </w:p>
              </w:tc>
              <w:tc>
                <w:tcPr>
                  <w:tcW w:type="dxa" w:w="255"/>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w:t>
                  </w:r>
                  <w:r>
                    <w:rPr>
                      <w:rFonts w:ascii="仿宋_GB2312" w:hAnsi="仿宋_GB2312" w:cs="仿宋_GB2312" w:eastAsia="仿宋_GB2312"/>
                      <w:sz w:val="21"/>
                      <w:color w:val="000000"/>
                    </w:rPr>
                    <w:t>费用清单</w:t>
                  </w:r>
                  <w:r>
                    <w:rPr>
                      <w:rFonts w:ascii="仿宋_GB2312" w:hAnsi="仿宋_GB2312" w:cs="仿宋_GB2312" w:eastAsia="仿宋_GB2312"/>
                      <w:sz w:val="21"/>
                      <w:color w:val="000000"/>
                    </w:rPr>
                    <w:t>的</w:t>
                  </w:r>
                  <w:r>
                    <w:rPr>
                      <w:rFonts w:ascii="仿宋_GB2312" w:hAnsi="仿宋_GB2312" w:cs="仿宋_GB2312" w:eastAsia="仿宋_GB2312"/>
                      <w:sz w:val="21"/>
                      <w:color w:val="000000"/>
                    </w:rPr>
                    <w:t>完整性</w:t>
                  </w:r>
                  <w:r>
                    <w:rPr>
                      <w:rFonts w:ascii="仿宋_GB2312" w:hAnsi="仿宋_GB2312" w:cs="仿宋_GB2312" w:eastAsia="仿宋_GB2312"/>
                      <w:sz w:val="21"/>
                      <w:color w:val="000000"/>
                    </w:rPr>
                    <w:t>进行</w:t>
                  </w:r>
                  <w:r>
                    <w:rPr>
                      <w:rFonts w:ascii="仿宋_GB2312" w:hAnsi="仿宋_GB2312" w:cs="仿宋_GB2312" w:eastAsia="仿宋_GB2312"/>
                      <w:sz w:val="21"/>
                      <w:color w:val="000000"/>
                    </w:rPr>
                    <w:t>校验</w:t>
                  </w:r>
                  <w:r>
                    <w:rPr>
                      <w:rFonts w:ascii="仿宋_GB2312" w:hAnsi="仿宋_GB2312" w:cs="仿宋_GB2312" w:eastAsia="仿宋_GB2312"/>
                      <w:sz w:val="21"/>
                      <w:color w:val="000000"/>
                    </w:rPr>
                    <w:t>。</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43</w:t>
                  </w:r>
                </w:p>
              </w:tc>
              <w:tc>
                <w:tcPr>
                  <w:tcW w:type="dxa" w:w="255"/>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进行权限控制设定，如一般性打印、导出、浏览自动隐藏清单。</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44</w:t>
                  </w:r>
                </w:p>
              </w:tc>
              <w:tc>
                <w:tcPr>
                  <w:tcW w:type="dxa" w:w="255"/>
                  <w:vMerge/>
                  <w:tcBorders>
                    <w:top w:val="none" w:color="000000" w:sz="4"/>
                    <w:left w:val="none" w:color="000000" w:sz="4"/>
                    <w:bottom w:val="single" w:color="000000" w:sz="4"/>
                    <w:right w:val="single" w:color="000000" w:sz="4"/>
                  </w:tcBorders>
                </w:tcP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清单导出</w:t>
                  </w:r>
                </w:p>
              </w:tc>
              <w:tc>
                <w:tcPr>
                  <w:tcW w:type="dxa" w:w="18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▲导出后的文件可根据政策“国家卫生健康委办公厅关于开展死亡和非医嘱离院病案报告工作的通知”的要求排序、附加PDF书签目录、文件命名</w:t>
                  </w:r>
                  <w:r>
                    <w:rPr>
                      <w:rFonts w:ascii="仿宋_GB2312" w:hAnsi="仿宋_GB2312" w:cs="仿宋_GB2312" w:eastAsia="仿宋_GB2312"/>
                      <w:sz w:val="21"/>
                      <w:color w:val="000000"/>
                    </w:rPr>
                    <w:t>。</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45</w:t>
                  </w:r>
                </w:p>
              </w:tc>
              <w:tc>
                <w:tcPr>
                  <w:tcW w:type="dxa" w:w="255"/>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1864"/>
                  <w:vMerge/>
                  <w:tcBorders>
                    <w:top w:val="none" w:color="000000" w:sz="4"/>
                    <w:left w:val="none" w:color="000000" w:sz="4"/>
                    <w:bottom w:val="single" w:color="000000" w:sz="4"/>
                    <w:right w:val="single" w:color="000000" w:sz="4"/>
                  </w:tcBorders>
                </w:tcPr>
                <w:p/>
              </w:tc>
            </w:tr>
          </w:tbl>
          <w:p>
            <w:pPr>
              <w:pStyle w:val="null3"/>
              <w:jc w:val="both"/>
              <w:outlineLvl w:val="0"/>
            </w:pPr>
            <w:r>
              <w:rPr>
                <w:rFonts w:ascii="仿宋_GB2312" w:hAnsi="仿宋_GB2312" w:cs="仿宋_GB2312" w:eastAsia="仿宋_GB2312"/>
                <w:sz w:val="24"/>
                <w:b/>
              </w:rPr>
              <w:t>服务要求</w:t>
            </w:r>
          </w:p>
          <w:p>
            <w:pPr>
              <w:pStyle w:val="null3"/>
              <w:jc w:val="left"/>
            </w:pPr>
            <w:r>
              <w:rPr>
                <w:rFonts w:ascii="仿宋_GB2312" w:hAnsi="仿宋_GB2312" w:cs="仿宋_GB2312" w:eastAsia="仿宋_GB2312"/>
                <w:sz w:val="24"/>
              </w:rPr>
              <w:t>1.在合同约定时间内完成院方要求数量的出院病案纸质数字化工作，制作地点与病案保存地需遵循采购人的指定要求。</w:t>
            </w:r>
          </w:p>
          <w:p>
            <w:pPr>
              <w:pStyle w:val="null3"/>
              <w:jc w:val="left"/>
            </w:pPr>
            <w:r>
              <w:rPr>
                <w:rFonts w:ascii="仿宋_GB2312" w:hAnsi="仿宋_GB2312" w:cs="仿宋_GB2312" w:eastAsia="仿宋_GB2312"/>
                <w:sz w:val="24"/>
              </w:rPr>
              <w:t>2.中标方需承担数字化加工病案资料过程中涉及的运输、下架、拆装、分类、扫描、还原、装箱等作业。</w:t>
            </w:r>
          </w:p>
          <w:p>
            <w:pPr>
              <w:pStyle w:val="null3"/>
              <w:jc w:val="left"/>
            </w:pPr>
            <w:r>
              <w:rPr>
                <w:rFonts w:ascii="仿宋_GB2312" w:hAnsi="仿宋_GB2312" w:cs="仿宋_GB2312" w:eastAsia="仿宋_GB2312"/>
                <w:sz w:val="24"/>
              </w:rPr>
              <w:t>3.中标方需承担制作过程中所使用的软件、设备（包括但不限于电脑、高拍仪、扫描仪、扫码枪、条码打印机等）、耗材以及运输等相关内容。</w:t>
            </w:r>
          </w:p>
          <w:p>
            <w:pPr>
              <w:pStyle w:val="null3"/>
              <w:jc w:val="left"/>
            </w:pPr>
            <w:r>
              <w:rPr>
                <w:rFonts w:ascii="仿宋_GB2312" w:hAnsi="仿宋_GB2312" w:cs="仿宋_GB2312" w:eastAsia="仿宋_GB2312"/>
                <w:sz w:val="24"/>
              </w:rPr>
              <w:t>4. 加工完成后原始纸质病案使用条形码技术装箱保存，定位管理，并运送指定存放点。</w:t>
            </w:r>
          </w:p>
          <w:p>
            <w:pPr>
              <w:pStyle w:val="null3"/>
              <w:jc w:val="left"/>
            </w:pPr>
            <w:r>
              <w:rPr>
                <w:rFonts w:ascii="仿宋_GB2312" w:hAnsi="仿宋_GB2312" w:cs="仿宋_GB2312" w:eastAsia="仿宋_GB2312"/>
                <w:sz w:val="24"/>
              </w:rPr>
              <w:t>5.病案数字化系统可被医院现有系统集成与调用，包括但不限于电子病历系统、无纸化归档系统。</w:t>
            </w:r>
          </w:p>
          <w:p>
            <w:pPr>
              <w:pStyle w:val="null3"/>
              <w:jc w:val="both"/>
              <w:outlineLvl w:val="0"/>
            </w:pPr>
            <w:r>
              <w:rPr>
                <w:rFonts w:ascii="仿宋_GB2312" w:hAnsi="仿宋_GB2312" w:cs="仿宋_GB2312" w:eastAsia="仿宋_GB2312"/>
                <w:sz w:val="24"/>
                <w:b/>
              </w:rPr>
              <w:t>售后要求</w:t>
            </w:r>
          </w:p>
          <w:p>
            <w:pPr>
              <w:pStyle w:val="null3"/>
              <w:jc w:val="left"/>
            </w:pPr>
            <w:r>
              <w:rPr>
                <w:rFonts w:ascii="仿宋_GB2312" w:hAnsi="仿宋_GB2312" w:cs="仿宋_GB2312" w:eastAsia="仿宋_GB2312"/>
                <w:sz w:val="24"/>
              </w:rPr>
              <w:t>1.若发现数字化病案存在模糊、偏斜等质量问题，则须进行重拍服务直至合格。</w:t>
            </w:r>
          </w:p>
          <w:p>
            <w:pPr>
              <w:pStyle w:val="null3"/>
              <w:jc w:val="left"/>
            </w:pPr>
            <w:r>
              <w:rPr>
                <w:rFonts w:ascii="仿宋_GB2312" w:hAnsi="仿宋_GB2312" w:cs="仿宋_GB2312" w:eastAsia="仿宋_GB2312"/>
                <w:sz w:val="24"/>
              </w:rPr>
              <w:t>2.投标人应具有完善的维保期内售后服务方案。</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所提供的技术服务为</w:t>
            </w:r>
            <w:r>
              <w:rPr>
                <w:rFonts w:ascii="仿宋_GB2312" w:hAnsi="仿宋_GB2312" w:cs="仿宋_GB2312" w:eastAsia="仿宋_GB2312"/>
                <w:sz w:val="24"/>
              </w:rPr>
              <w:t>7×24小时支持维护服务，包括邮件、电话、远程维护、现场服务等方式。需现场解决的必须保证1小时之内响应、</w:t>
            </w:r>
            <w:r>
              <w:rPr>
                <w:rFonts w:ascii="仿宋_GB2312" w:hAnsi="仿宋_GB2312" w:cs="仿宋_GB2312" w:eastAsia="仿宋_GB2312"/>
                <w:sz w:val="24"/>
              </w:rPr>
              <w:t>12</w:t>
            </w:r>
            <w:r>
              <w:rPr>
                <w:rFonts w:ascii="仿宋_GB2312" w:hAnsi="仿宋_GB2312" w:cs="仿宋_GB2312" w:eastAsia="仿宋_GB2312"/>
                <w:sz w:val="24"/>
              </w:rPr>
              <w:t>小时内派工程师到达现场、</w:t>
            </w:r>
            <w:r>
              <w:rPr>
                <w:rFonts w:ascii="仿宋_GB2312" w:hAnsi="仿宋_GB2312" w:cs="仿宋_GB2312" w:eastAsia="仿宋_GB2312"/>
                <w:sz w:val="24"/>
              </w:rPr>
              <w:t>24小时之内解决问题。</w:t>
            </w:r>
          </w:p>
          <w:p>
            <w:pPr>
              <w:pStyle w:val="null3"/>
              <w:jc w:val="both"/>
            </w:pPr>
            <w:r>
              <w:rPr>
                <w:rFonts w:ascii="仿宋_GB2312" w:hAnsi="仿宋_GB2312" w:cs="仿宋_GB2312" w:eastAsia="仿宋_GB2312"/>
                <w:sz w:val="24"/>
              </w:rPr>
              <w:t>4.数字化病案</w:t>
            </w:r>
            <w:r>
              <w:rPr>
                <w:rFonts w:ascii="仿宋_GB2312" w:hAnsi="仿宋_GB2312" w:cs="仿宋_GB2312" w:eastAsia="仿宋_GB2312"/>
                <w:sz w:val="24"/>
              </w:rPr>
              <w:t>系统的使用权归甲方所有并</w:t>
            </w:r>
            <w:r>
              <w:rPr>
                <w:rFonts w:ascii="仿宋_GB2312" w:hAnsi="仿宋_GB2312" w:cs="仿宋_GB2312" w:eastAsia="仿宋_GB2312"/>
                <w:sz w:val="24"/>
              </w:rPr>
              <w:t>定期免费升级版本，</w:t>
            </w:r>
            <w:r>
              <w:rPr>
                <w:rFonts w:ascii="仿宋_GB2312" w:hAnsi="仿宋_GB2312" w:cs="仿宋_GB2312" w:eastAsia="仿宋_GB2312"/>
                <w:sz w:val="24"/>
              </w:rPr>
              <w:t>医院其他系统需要调用时，可为医院免费提供系统接口。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服务期限为一年，服务期内甲方可根据实际情况随时终止服务，如采购人提前终止合同，须提前一个月通知供应商，本合同自解除通知送达供应商之日终止。采购人提前解除合同的，无需承担任何违约责任。如在服务期限内，甲方应向乙方支付的款项总额已达合同预算总价，则本合同自金额达到之日起自动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西安市中医医院指定地点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1.验收方法 （1）季检：在服务期内每季度进行一次质检，供应商协助采购人抽查5%的病案图像和纸质病案，并与纸质病案对照核对数量及质量，其中扫码图像的完整性要达到 100%，不能出现缺页、错页、重复等现象。 （2）上半年结算时，若季检的图像的完整性未达标，扣除上半年结算总价款的3%；累计两次季检未达标，扣除上半年结算总价款的6%； （3）下半年结算时，若季检未达标，则扣除下半年结算总价款的3%；累计两次季检未达标，扣除下半年结算总价款的6%。但如上半年季检也存在未达标情况的，则应将上年度及下年度未达标次数累计计算，累计三次季检未达标，扣除下半年结算总价款的10%；累计四次季检未达标，扣除下半年结算总价款的15%。抽检中不合格的图像进行重新加工直至合格。 2.验收标准 （1）病案完整性，不能出现缺漏页情况;文件顺序，不能出现顺序错乱情况;非原件残损，不能出现扫描造成的图像残损。 （2）验收标准： ①数字化病案图像是否与纸质病案完全一致。 ②数字化病案图像格式和清晰度符合要求； ③数字化病案的文件夹命名合乎标准； ④差错率 ：依据“纸质档案数字化技术标准（中华人民共和国档案行业标准DA/T31-2017）”12.3之规定，数字化转换质量抽检的合格率应≧95%。 ⑤首页信息的主要数据项（姓名、病案号、出院日期、主要诊断、手术）的差错率不得超过3‰。 3.验收资料 供应商需交付的资料（应提供纸质及电子文档）涵盖如下内容： （1）项目实施前：需求分析报告、项目实施计划等； （2）项目实施期间：项目实施工作单、需求变更日志、项目实施过程中衍生的其它相关资料； （3）项目实施后：系统试运行和自测报告、故障诊断与排除手册等； 培训期间：培训计划、产品使用手册（包含管理员使用手册及操作人员使用手册）等。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每半年对供应商提交的病案成品的季检结果进行累计并验收，验收合格后进行结算，结算金额以实际翻拍加工数量×每页单价，供应商开具实际数量对应金额的发票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满一年后，服务无质量问题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按采购文件和响应文件执行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1.质保期：3年。 2.单页限价（元）：0.058元/页（供应商报价时按照10页进行报价，10页限价：0.58元/10页）。 3.付款方式： ①合同签订后，无首付款； ②每半年对供应商提交的病案成品的季检结果进行累计并验收，验收合格后进行结算，结算金额以实际翻拍加工数量×每页单价，供应商开具实际数量对应金额的发票，甲方在 30 个日历日内，支付结算金额的 95%，结算金额剩余的 5%在满一年后，如服务无质量问题，甲方在30 个日历日内支付，甲乙双方最终实际结算总价不得高于本合同约定的预算总价。 质保期和单页限价及付款方式均为实质性内容，供应商必须满足要求，否则按无效响应处理。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 3 年内在经营活动中没有重大违法记录的书面声明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供应商非西安市中医医院职工及其亲属投资开办或控股的企业</w:t>
            </w:r>
          </w:p>
        </w:tc>
        <w:tc>
          <w:tcPr>
            <w:tcW w:type="dxa" w:w="3322"/>
          </w:tcPr>
          <w:p>
            <w:pPr>
              <w:pStyle w:val="null3"/>
            </w:pPr>
            <w:r>
              <w:rPr>
                <w:rFonts w:ascii="仿宋_GB2312" w:hAnsi="仿宋_GB2312" w:cs="仿宋_GB2312" w:eastAsia="仿宋_GB2312"/>
              </w:rPr>
              <w:t>供应商非西安市中医医院职工及其亲属投资开办或控股的企业</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响应报价超过采购预算或者最高（单价）限价（不合格） 响应报价未超过采购预算或者最高（单价）限价（合格）</w:t>
            </w:r>
          </w:p>
        </w:tc>
        <w:tc>
          <w:tcPr>
            <w:tcW w:type="dxa" w:w="1661"/>
          </w:tcPr>
          <w:p>
            <w:pPr>
              <w:pStyle w:val="null3"/>
            </w:pPr>
            <w:r>
              <w:rPr>
                <w:rFonts w:ascii="仿宋_GB2312" w:hAnsi="仿宋_GB2312" w:cs="仿宋_GB2312" w:eastAsia="仿宋_GB2312"/>
              </w:rPr>
              <w:t>报价表 分项价格表.docx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服务期限不满足竞争性磋商文件要求（不合格） 服务期限满足竞争性磋商文件要求（合格）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响应文件的签署、盖章不符合竞争性磋商文件要求（不合格） 响应文件的签署、盖章符合竞争性磋商文件要求（合格）</w:t>
            </w:r>
          </w:p>
        </w:tc>
        <w:tc>
          <w:tcPr>
            <w:tcW w:type="dxa" w:w="1661"/>
          </w:tcPr>
          <w:p>
            <w:pPr>
              <w:pStyle w:val="null3"/>
            </w:pPr>
            <w:r>
              <w:rPr>
                <w:rFonts w:ascii="仿宋_GB2312" w:hAnsi="仿宋_GB2312" w:cs="仿宋_GB2312" w:eastAsia="仿宋_GB2312"/>
              </w:rPr>
              <w:t>响应文件封面 供应商资格要求.docx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响应文件无投标有效期或有效期达不到竞争性磋商文件要求的 （不合格） 响应文件投标有效期达到竞争性磋商文件要求的（合格）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响应文件的标的数量不满足采购要求的（不合格） 响应文件的标的数量满足 采购要求的（合格）</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响应文件含有采购人不能接受的附加条件的（不合格） 响应文件没有采购人不能接受的附加条件的（合格）</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服务内容及服务邀请应答表 商务应答表 供应商认为有必要说明的其他问题.docx 供应商诚信承诺书.docx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由磋商小组根据磋商文件的技术要求，对供应商的技术相应进行评审，完全符合、响应竞争性磋商文件要求，没有负偏离计32分，“▲”号条款均为重要的技术指标，需要提供佐证材料（包含但不限于系统截图、操作说明书、技术白皮书等），未提供或提供不满足采购文件要求视为负偏离，“▲”号条款负偏离一项扣2分，非“▲”号条款负偏离一项扣1分，扣完为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的合理性，包括①实施步骤、②时间计划安排、③风险预见与控制能力、④组织协调内容及措施、⑤工作重点与难点分析及对应措施，从方案全面性、科学合理性、可操作性等方面综合评价，每项内容最高得2分，未提供不得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根据供应商提供的质量保证方案的完整性、合理性等方面综合评审，最高得4分。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供应商提供项目安全保密方案，包括对①档案实体、②电子数据、③现场管理的保密措施。 从方案全面性、科学合理性、可操作性等方面综合评价，每项内容最高得2分，未提供不得分，满分6分。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包括但不限于①服务团队及岗位职责；②人员配备数量；③人员技术能力（提供人员资格或能力证书）。从方案全面性、科学合理性、可操作性等方面综合评价，每项内容最高得2分，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提供针对本项目的售后方案，包含具体的①售后服务承诺、②故障响应时间、响应方式。 从方案全面性、科学合理性、可操作性等方面综合评价，每项内容最高得2分，未提供不得分，满分4分。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1.所投产品具有与病案数字化系统相关的软件开发著作权登记证书，提供 1个得1分，最多得3分，不提供得0分。（需提供复印件加盖公章） 2.投标人具有ISO/IEC27001信息安全管理体系认证证书，提供证书复印件并加盖公章得2分，不提供得0分。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2022年7月1日至今（以合同签订时间为准），投标人具有类似业绩，每提供1个得1分，最高得3分。 （提供业绩项目完整合同复印件）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价格分=(评标基准价／磋商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详见附件：售后方案.docx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详见附件：分项价格表.docx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