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版本号：SXZCZB2026-ZCCS-042520260427001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市政府办公区消防系统维保项目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SXZCZB2026-ZCCS-0425</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市政府办公区消防系统维保项目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SXZCZB2026-ZCCS-0425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市政府办公区消防系统维保项目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市政府办公区消防系统维保项目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采购包1（市政府办公区消防系统维保项目）：属于专门面向中小企业采购。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状况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7、承诺书：提供具有履行本合同所必需的设备和专业技术能力的说明及承诺书；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9、直接控股和管理关系：提供直接控股和管理关系清单。若与其他供应商存在单位负责人为同一人或者存在直接控股、管理关系的，则投标无效；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10、中小企业声明函：本项目专门面向中小企业采购，供应商提供中小企业声明函；</w:t>
      </w:r>
    </w:p>
    <w:p>
      <w:pPr>
        <w:pStyle w:val="null3"/>
      </w:pPr>
      <w:r>
        <w:rPr>
          <w:rFonts w:ascii="仿宋_GB2312" w:hAnsi="仿宋_GB2312" w:cs="仿宋_GB2312" w:eastAsia="仿宋_GB2312"/>
        </w:rPr>
        <w:t>11、非联合体磋商承诺：本项目不接受联合体磋商（提供承诺书）。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029-67098610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倪沛、胡晓均、王欣玫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采购包1：802,210.00元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代理服务费收费标准：以成交金额为基数，依据国家计委颁发的《招标代理服务收费管理暂行办法》（计价格〔2002〕1980号）和国家发展和改革委员会办 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联系人：倪沛、胡晓均、王欣玫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市政府办公区消防系统维保项目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802,210.00</w:t>
      </w:r>
    </w:p>
    <w:p>
      <w:pPr>
        <w:pStyle w:val="null3"/>
      </w:pPr>
      <w:r>
        <w:rPr>
          <w:rFonts w:ascii="仿宋_GB2312" w:hAnsi="仿宋_GB2312" w:cs="仿宋_GB2312" w:eastAsia="仿宋_GB2312"/>
        </w:rPr>
        <w:t>采购包最高限价（元）: 802,210.00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市政府办公区消防设施设备维保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802,210.00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标的名称：市政府办公区消防设施设备维保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4"/>
              </w:rPr>
              <w:t>项目介绍：</w:t>
            </w:r>
          </w:p>
          <w:p>
            <w:pPr>
              <w:pStyle w:val="null3"/>
              <w:spacing w:before="105" w:after="105"/>
              <w:jc w:val="left"/>
            </w:pPr>
            <w:r>
              <w:rPr>
                <w:rFonts w:ascii="仿宋_GB2312" w:hAnsi="仿宋_GB2312" w:cs="仿宋_GB2312" w:eastAsia="仿宋_GB2312"/>
                <w:sz w:val="24"/>
              </w:rPr>
              <w:t>西安市政府于</w:t>
            </w:r>
            <w:r>
              <w:rPr>
                <w:rFonts w:ascii="仿宋_GB2312" w:hAnsi="仿宋_GB2312" w:cs="仿宋_GB2312" w:eastAsia="仿宋_GB2312"/>
                <w:sz w:val="24"/>
              </w:rPr>
              <w:t>2011年3月建成投入使用，建筑面积约为25万平方米。根据有关消防规范对西安市政府办公区域建筑消防设施系统（火灾自动报警系统、消防给水系统、室内、外消火栓系统、自动喷淋灭火系统、防排烟系统、防火分隔系统、应急照明及疏散指示标识、楼层内放设置的灭火器）进行年度消防维保（维修、维护、保养）。</w:t>
            </w:r>
          </w:p>
          <w:tbl>
            <w:tblPr>
              <w:tblBorders>
                <w:top w:val="none" w:color="000000" w:sz="4"/>
                <w:left w:val="none" w:color="000000" w:sz="4"/>
                <w:bottom w:val="none" w:color="000000" w:sz="4"/>
                <w:right w:val="none" w:color="000000" w:sz="4"/>
                <w:insideH w:val="none"/>
                <w:insideV w:val="none"/>
              </w:tblBorders>
            </w:tblPr>
            <w:tblGrid>
              <w:gridCol w:w="266"/>
              <w:gridCol w:w="544"/>
              <w:gridCol w:w="753"/>
              <w:gridCol w:w="266"/>
              <w:gridCol w:w="405"/>
              <w:gridCol w:w="319"/>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市政府主楼北区地库</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1466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501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防火卷帘门</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樘</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216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正压送风机</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排风阀</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5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排风机</w:t>
                  </w:r>
                </w:p>
              </w:tc>
              <w:tc>
                <w:tcPr>
                  <w:tcW w:type="dxa" w:w="7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4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20</w:t>
                  </w:r>
                </w:p>
              </w:tc>
              <w:tc>
                <w:tcPr>
                  <w:tcW w:type="dxa" w:w="3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气体主机</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67"/>
              <w:gridCol w:w="542"/>
              <w:gridCol w:w="747"/>
              <w:gridCol w:w="267"/>
              <w:gridCol w:w="405"/>
              <w:gridCol w:w="325"/>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市政府主楼南区地库</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型号</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智能光电感烟</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ND-751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差定温感</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ND-751T</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手报按钮</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M500K</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监视模块</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MMX-7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输入输出模块</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CMX-7D(C)</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消火栓按钮</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M500H</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消防主机（柜）</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N-6000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广播控制柜</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AES</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消火栓（柜）</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DN65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信号阀</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DN150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水流指示器</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DN150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防火卷帘门</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樘</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206</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排烟阀</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正压送风机</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排风阀</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5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排风机</w:t>
                  </w:r>
                </w:p>
              </w:tc>
              <w:tc>
                <w:tcPr>
                  <w:tcW w:type="dxa" w:w="7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气体主机</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4"/>
              <w:gridCol w:w="561"/>
              <w:gridCol w:w="776"/>
              <w:gridCol w:w="274"/>
              <w:gridCol w:w="346"/>
              <w:gridCol w:w="323"/>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w:t>
                  </w:r>
                  <w:r>
                    <w:rPr>
                      <w:rFonts w:ascii="仿宋_GB2312" w:hAnsi="仿宋_GB2312" w:cs="仿宋_GB2312" w:eastAsia="仿宋_GB2312"/>
                      <w:sz w:val="22"/>
                      <w:b/>
                      <w:color w:val="000000"/>
                    </w:rPr>
                    <w:t>1号楼</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391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32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正压送风机</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4"/>
              <w:gridCol w:w="561"/>
              <w:gridCol w:w="776"/>
              <w:gridCol w:w="274"/>
              <w:gridCol w:w="346"/>
              <w:gridCol w:w="323"/>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w:t>
                  </w:r>
                  <w:r>
                    <w:rPr>
                      <w:rFonts w:ascii="仿宋_GB2312" w:hAnsi="仿宋_GB2312" w:cs="仿宋_GB2312" w:eastAsia="仿宋_GB2312"/>
                      <w:sz w:val="22"/>
                      <w:b/>
                      <w:color w:val="000000"/>
                    </w:rPr>
                    <w:t>2号楼</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391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正压送风机</w:t>
                  </w:r>
                </w:p>
              </w:tc>
              <w:tc>
                <w:tcPr>
                  <w:tcW w:type="dxa" w:w="7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气体主机</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气体钢瓶</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启动瓶</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3"/>
              <w:gridCol w:w="560"/>
              <w:gridCol w:w="775"/>
              <w:gridCol w:w="273"/>
              <w:gridCol w:w="345"/>
              <w:gridCol w:w="326"/>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w:t>
                  </w:r>
                  <w:r>
                    <w:rPr>
                      <w:rFonts w:ascii="仿宋_GB2312" w:hAnsi="仿宋_GB2312" w:cs="仿宋_GB2312" w:eastAsia="仿宋_GB2312"/>
                      <w:sz w:val="22"/>
                      <w:b/>
                      <w:color w:val="000000"/>
                    </w:rPr>
                    <w:t>3号楼</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正压送风机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气体控制柜</w:t>
                  </w:r>
                </w:p>
              </w:tc>
              <w:tc>
                <w:tcPr>
                  <w:tcW w:type="dxa" w:w="7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90L/30L</w:t>
                  </w:r>
                </w:p>
              </w:tc>
              <w:tc>
                <w:tcPr>
                  <w:tcW w:type="dxa" w:w="27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气体主机</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4"/>
              <w:gridCol w:w="561"/>
              <w:gridCol w:w="776"/>
              <w:gridCol w:w="274"/>
              <w:gridCol w:w="346"/>
              <w:gridCol w:w="321"/>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w:t>
                  </w:r>
                  <w:r>
                    <w:rPr>
                      <w:rFonts w:ascii="仿宋_GB2312" w:hAnsi="仿宋_GB2312" w:cs="仿宋_GB2312" w:eastAsia="仿宋_GB2312"/>
                      <w:sz w:val="22"/>
                      <w:b/>
                      <w:color w:val="000000"/>
                    </w:rPr>
                    <w:t>4号楼</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395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正压送风机</w:t>
                  </w:r>
                </w:p>
              </w:tc>
              <w:tc>
                <w:tcPr>
                  <w:tcW w:type="dxa" w:w="7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气体主机</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气体钢瓶</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4"/>
              <w:gridCol w:w="561"/>
              <w:gridCol w:w="776"/>
              <w:gridCol w:w="274"/>
              <w:gridCol w:w="346"/>
              <w:gridCol w:w="321"/>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w:t>
                  </w:r>
                  <w:r>
                    <w:rPr>
                      <w:rFonts w:ascii="仿宋_GB2312" w:hAnsi="仿宋_GB2312" w:cs="仿宋_GB2312" w:eastAsia="仿宋_GB2312"/>
                      <w:sz w:val="22"/>
                      <w:b/>
                      <w:color w:val="000000"/>
                    </w:rPr>
                    <w:t>5号楼</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224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输入模块</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MXX-7P</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非编码差定温感</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SD-751T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330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排烟风机</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56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防火卷帘门</w:t>
                  </w:r>
                </w:p>
              </w:tc>
              <w:tc>
                <w:tcPr>
                  <w:tcW w:type="dxa" w:w="7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樘</w:t>
                  </w:r>
                </w:p>
              </w:tc>
              <w:tc>
                <w:tcPr>
                  <w:tcW w:type="dxa" w:w="3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3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17</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气体主机</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气体钢瓶</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3"/>
              <w:gridCol w:w="560"/>
              <w:gridCol w:w="775"/>
              <w:gridCol w:w="273"/>
              <w:gridCol w:w="345"/>
              <w:gridCol w:w="326"/>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w:t>
                  </w:r>
                  <w:r>
                    <w:rPr>
                      <w:rFonts w:ascii="仿宋_GB2312" w:hAnsi="仿宋_GB2312" w:cs="仿宋_GB2312" w:eastAsia="仿宋_GB2312"/>
                      <w:sz w:val="22"/>
                      <w:b/>
                      <w:color w:val="000000"/>
                    </w:rPr>
                    <w:t>6号楼</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输入模块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MXX-7P</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非编码差定温感</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SD-751T</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246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排烟风机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5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防火卷帘门</w:t>
                  </w:r>
                </w:p>
              </w:tc>
              <w:tc>
                <w:tcPr>
                  <w:tcW w:type="dxa" w:w="7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樘</w:t>
                  </w:r>
                </w:p>
              </w:tc>
              <w:tc>
                <w:tcPr>
                  <w:tcW w:type="dxa" w:w="3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17</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气体主机</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气体钢瓶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4"/>
              <w:gridCol w:w="561"/>
              <w:gridCol w:w="777"/>
              <w:gridCol w:w="274"/>
              <w:gridCol w:w="346"/>
              <w:gridCol w:w="320"/>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w:t>
                  </w:r>
                  <w:r>
                    <w:rPr>
                      <w:rFonts w:ascii="仿宋_GB2312" w:hAnsi="仿宋_GB2312" w:cs="仿宋_GB2312" w:eastAsia="仿宋_GB2312"/>
                      <w:sz w:val="22"/>
                      <w:b/>
                      <w:color w:val="000000"/>
                    </w:rPr>
                    <w:t>7号楼</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311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输入模块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MXX-7P</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非编码差定温感</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SD-751T</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320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气体主机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气体钢瓶</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6"/>
              <w:gridCol w:w="564"/>
              <w:gridCol w:w="781"/>
              <w:gridCol w:w="276"/>
              <w:gridCol w:w="348"/>
              <w:gridCol w:w="309"/>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市政府应急中心</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158</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27</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27</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排烟阀</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排烟风机</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防火阀</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新风机</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5"/>
              <w:gridCol w:w="749"/>
              <w:gridCol w:w="512"/>
              <w:gridCol w:w="275"/>
              <w:gridCol w:w="275"/>
              <w:gridCol w:w="465"/>
            </w:tblGrid>
            <w:tr>
              <w:tc>
                <w:tcPr>
                  <w:tcW w:type="dxa" w:w="255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武警后勤楼</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581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排烟风机</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正压风机</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防火卷帘门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樘</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7"/>
              <w:gridCol w:w="426"/>
              <w:gridCol w:w="636"/>
              <w:gridCol w:w="357"/>
              <w:gridCol w:w="357"/>
              <w:gridCol w:w="421"/>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水泵房及室外</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自喷泵</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55kW</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消防泵</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55kW</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稳压罐</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湿式报警阀</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水泵控制柜</w:t>
                  </w:r>
                </w:p>
              </w:tc>
              <w:tc>
                <w:tcPr>
                  <w:tcW w:type="dxa" w:w="6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4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室外消火栓泵</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55kW</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室外消火栓</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8"/>
              <w:gridCol w:w="432"/>
              <w:gridCol w:w="451"/>
              <w:gridCol w:w="358"/>
              <w:gridCol w:w="544"/>
              <w:gridCol w:w="411"/>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灭火器</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市政府主楼北区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1072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市政府主楼南区</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1012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w:t>
                  </w:r>
                  <w:r>
                    <w:rPr>
                      <w:rFonts w:ascii="仿宋_GB2312" w:hAnsi="仿宋_GB2312" w:cs="仿宋_GB2312" w:eastAsia="仿宋_GB2312"/>
                      <w:sz w:val="23"/>
                      <w:color w:val="000000"/>
                    </w:rPr>
                    <w:t>1号楼</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w:t>
                  </w:r>
                  <w:r>
                    <w:rPr>
                      <w:rFonts w:ascii="仿宋_GB2312" w:hAnsi="仿宋_GB2312" w:cs="仿宋_GB2312" w:eastAsia="仿宋_GB2312"/>
                      <w:sz w:val="23"/>
                      <w:color w:val="000000"/>
                    </w:rPr>
                    <w:t>2号楼</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w:t>
                  </w:r>
                  <w:r>
                    <w:rPr>
                      <w:rFonts w:ascii="仿宋_GB2312" w:hAnsi="仿宋_GB2312" w:cs="仿宋_GB2312" w:eastAsia="仿宋_GB2312"/>
                      <w:sz w:val="23"/>
                      <w:color w:val="000000"/>
                    </w:rPr>
                    <w:t>3号楼</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w:t>
                  </w:r>
                  <w:r>
                    <w:rPr>
                      <w:rFonts w:ascii="仿宋_GB2312" w:hAnsi="仿宋_GB2312" w:cs="仿宋_GB2312" w:eastAsia="仿宋_GB2312"/>
                      <w:sz w:val="23"/>
                      <w:color w:val="000000"/>
                    </w:rPr>
                    <w:t>4号楼</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w:t>
                  </w:r>
                  <w:r>
                    <w:rPr>
                      <w:rFonts w:ascii="仿宋_GB2312" w:hAnsi="仿宋_GB2312" w:cs="仿宋_GB2312" w:eastAsia="仿宋_GB2312"/>
                      <w:sz w:val="23"/>
                      <w:color w:val="000000"/>
                    </w:rPr>
                    <w:t>5号楼</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242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w:t>
                  </w:r>
                  <w:r>
                    <w:rPr>
                      <w:rFonts w:ascii="仿宋_GB2312" w:hAnsi="仿宋_GB2312" w:cs="仿宋_GB2312" w:eastAsia="仿宋_GB2312"/>
                      <w:sz w:val="23"/>
                      <w:color w:val="000000"/>
                    </w:rPr>
                    <w:t>6号楼</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288</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w:t>
                  </w:r>
                  <w:r>
                    <w:rPr>
                      <w:rFonts w:ascii="仿宋_GB2312" w:hAnsi="仿宋_GB2312" w:cs="仿宋_GB2312" w:eastAsia="仿宋_GB2312"/>
                      <w:sz w:val="23"/>
                      <w:color w:val="000000"/>
                    </w:rPr>
                    <w:t>7号楼</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368</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市政府应急中心</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4kg</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具</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216</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5"/>
              <w:gridCol w:w="563"/>
              <w:gridCol w:w="779"/>
              <w:gridCol w:w="275"/>
              <w:gridCol w:w="347"/>
              <w:gridCol w:w="313"/>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政务大厅东厅</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685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238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排烟风机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正压风机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防火卷帘门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樘</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5"/>
              <w:gridCol w:w="563"/>
              <w:gridCol w:w="779"/>
              <w:gridCol w:w="275"/>
              <w:gridCol w:w="347"/>
              <w:gridCol w:w="312"/>
            </w:tblGrid>
            <w:tr>
              <w:tc>
                <w:tcPr>
                  <w:tcW w:type="dxa" w:w="255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政务大厅西厅</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368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289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75"/>
              <w:gridCol w:w="563"/>
              <w:gridCol w:w="779"/>
              <w:gridCol w:w="275"/>
              <w:gridCol w:w="347"/>
              <w:gridCol w:w="313"/>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市政府东车库</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序号</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名称</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型号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单位</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数量</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备注</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智能光电感烟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差定温感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ND-751T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581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手报按钮</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M500K</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监视模块</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MMX-7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输入输出模块</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CMX-7D(C)</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6</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消火栓按钮</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M500H</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7</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消防主机（柜）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N-6000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8</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广播控制柜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AES</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9</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消火栓（柜）</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DN65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套</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信号阀</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水流指示器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DN150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声光报警器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P700A</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38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排烟风机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正压风机</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防火卷帘门</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樘</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3"/>
                      <w:color w:val="000000"/>
                    </w:rPr>
                    <w:t>维护保养</w:t>
                  </w:r>
                </w:p>
              </w:tc>
            </w:tr>
          </w:tbl>
          <w:p>
            <w:pPr>
              <w:pStyle w:val="null3"/>
              <w:jc w:val="both"/>
            </w:pPr>
            <w:r>
              <w:rPr>
                <w:rFonts w:ascii="仿宋_GB2312" w:hAnsi="仿宋_GB2312" w:cs="仿宋_GB2312" w:eastAsia="仿宋_GB2312"/>
              </w:rPr>
              <w:t xml:space="preserve"> </w:t>
            </w:r>
          </w:p>
          <w:p>
            <w:pPr>
              <w:pStyle w:val="null3"/>
              <w:spacing w:before="105" w:after="105"/>
              <w:ind w:firstLine="561"/>
              <w:jc w:val="left"/>
            </w:pPr>
            <w:r>
              <w:rPr>
                <w:rFonts w:ascii="仿宋_GB2312" w:hAnsi="仿宋_GB2312" w:cs="仿宋_GB2312" w:eastAsia="仿宋_GB2312"/>
                <w:sz w:val="28"/>
                <w:b/>
              </w:rPr>
              <w:t>总体要求：</w:t>
            </w:r>
          </w:p>
          <w:p>
            <w:pPr>
              <w:pStyle w:val="null3"/>
              <w:spacing w:before="105" w:after="105"/>
              <w:ind w:firstLine="560"/>
              <w:jc w:val="both"/>
            </w:pPr>
            <w:r>
              <w:rPr>
                <w:rFonts w:ascii="仿宋_GB2312" w:hAnsi="仿宋_GB2312" w:cs="仿宋_GB2312" w:eastAsia="仿宋_GB2312"/>
                <w:sz w:val="28"/>
              </w:rPr>
              <w:t>1、对办公区涉及的消防设施（火灾自动报警系统及联动系统、消火栓系统、自动喷水灭火系统、防排烟及通风系统、防火分隔系统、消防广播系统、消防电梯、应急照明及疏散标识、气体灭火系统等），按照GB50016-2014《建筑设施防火规范》（2018版）、GB50166-2013《火灾自动报警系统施工及验收规范》、GB50974-2014《消防给水及消火栓系统技术规范》、GB50261-2017《自动喷水灭火系统施工及验收规范》、GB25201-2010《建筑消防设施的维护管理》等规范要求及2012年建成时的消防技术标准进行消防设施维护保养。</w:t>
            </w:r>
          </w:p>
          <w:p>
            <w:pPr>
              <w:pStyle w:val="null3"/>
              <w:spacing w:before="105" w:after="105"/>
              <w:ind w:firstLine="560"/>
              <w:jc w:val="both"/>
            </w:pPr>
            <w:r>
              <w:rPr>
                <w:rFonts w:ascii="仿宋_GB2312" w:hAnsi="仿宋_GB2312" w:cs="仿宋_GB2312" w:eastAsia="仿宋_GB2312"/>
                <w:sz w:val="28"/>
              </w:rPr>
              <w:t>★2、服务商须在“社会消防技术服务信息系统（https://shhxf.119.gov.cn/templet/index_7.jsp）”中可查询，且服务类型须包含“消防设施维护保养检测”及“消防安全评估”。提供相关证明材料（包含但不限于截图等）。</w:t>
            </w:r>
          </w:p>
          <w:p>
            <w:pPr>
              <w:pStyle w:val="null3"/>
              <w:spacing w:before="105" w:after="105"/>
              <w:ind w:firstLine="561"/>
              <w:jc w:val="left"/>
            </w:pPr>
            <w:r>
              <w:rPr>
                <w:rFonts w:ascii="仿宋_GB2312" w:hAnsi="仿宋_GB2312" w:cs="仿宋_GB2312" w:eastAsia="仿宋_GB2312"/>
                <w:sz w:val="28"/>
                <w:b/>
              </w:rPr>
              <w:t>（二）维保安全要求：</w:t>
            </w:r>
          </w:p>
          <w:p>
            <w:pPr>
              <w:pStyle w:val="null3"/>
              <w:spacing w:before="105" w:after="105"/>
              <w:ind w:firstLine="560"/>
              <w:jc w:val="both"/>
            </w:pPr>
            <w:r>
              <w:rPr>
                <w:rFonts w:ascii="仿宋_GB2312" w:hAnsi="仿宋_GB2312" w:cs="仿宋_GB2312" w:eastAsia="仿宋_GB2312"/>
                <w:sz w:val="28"/>
              </w:rPr>
              <w:t>1、维保中必须配备具有国家认可资质的消防设施操作员，全程专职驻场进行日常维护保养。</w:t>
            </w:r>
          </w:p>
          <w:p>
            <w:pPr>
              <w:pStyle w:val="null3"/>
              <w:spacing w:before="105" w:after="105"/>
              <w:ind w:firstLine="560"/>
              <w:jc w:val="both"/>
            </w:pPr>
            <w:r>
              <w:rPr>
                <w:rFonts w:ascii="仿宋_GB2312" w:hAnsi="仿宋_GB2312" w:cs="仿宋_GB2312" w:eastAsia="仿宋_GB2312"/>
                <w:sz w:val="28"/>
              </w:rPr>
              <w:t>2、维保开工前应做好维保方案，严格、遵守国家现行的有关安全及时规程、文件，针对本工程特点，制定专项安全防护管理制度和措施，消除事故隐患。同时制订安全应急预案。</w:t>
            </w:r>
          </w:p>
          <w:p>
            <w:pPr>
              <w:pStyle w:val="null3"/>
              <w:spacing w:before="105" w:after="105"/>
              <w:ind w:firstLine="560"/>
              <w:jc w:val="both"/>
            </w:pPr>
            <w:r>
              <w:rPr>
                <w:rFonts w:ascii="仿宋_GB2312" w:hAnsi="仿宋_GB2312" w:cs="仿宋_GB2312" w:eastAsia="仿宋_GB2312"/>
                <w:sz w:val="28"/>
              </w:rPr>
              <w:t>3、一切脚手架或棚架、防护设施、安全标志和警告牌等，一经架设后，不得擅自拆动。如需拆动时，必须经现场维保负责人同意。</w:t>
            </w:r>
          </w:p>
          <w:p>
            <w:pPr>
              <w:pStyle w:val="null3"/>
              <w:spacing w:before="105" w:after="105"/>
              <w:ind w:firstLine="560"/>
              <w:jc w:val="both"/>
            </w:pPr>
            <w:r>
              <w:rPr>
                <w:rFonts w:ascii="仿宋_GB2312" w:hAnsi="仿宋_GB2312" w:cs="仿宋_GB2312" w:eastAsia="仿宋_GB2312"/>
                <w:sz w:val="28"/>
              </w:rPr>
              <w:t>4、严格遵守国家环境保护法律、法规。</w:t>
            </w:r>
          </w:p>
          <w:p>
            <w:pPr>
              <w:pStyle w:val="null3"/>
              <w:spacing w:before="105" w:after="105"/>
              <w:ind w:firstLine="560"/>
              <w:jc w:val="both"/>
            </w:pPr>
            <w:r>
              <w:rPr>
                <w:rFonts w:ascii="仿宋_GB2312" w:hAnsi="仿宋_GB2312" w:cs="仿宋_GB2312" w:eastAsia="仿宋_GB2312"/>
                <w:sz w:val="28"/>
              </w:rPr>
              <w:t>5、制定环境保护管理规定，保护和改善现场的现有办公、生活环境。文明维保总的原状和要求是：文明维保，人人有责；分工负责，逐级监督；场地整洁，存放有序；创造安全、整洁、有序的维保环境与条件，以适应现代管理的需要。</w:t>
            </w:r>
          </w:p>
          <w:p>
            <w:pPr>
              <w:pStyle w:val="null3"/>
              <w:spacing w:before="105" w:after="105"/>
              <w:ind w:firstLine="560"/>
              <w:jc w:val="both"/>
            </w:pPr>
            <w:r>
              <w:rPr>
                <w:rFonts w:ascii="仿宋_GB2312" w:hAnsi="仿宋_GB2312" w:cs="仿宋_GB2312" w:eastAsia="仿宋_GB2312"/>
                <w:sz w:val="28"/>
              </w:rPr>
              <w:t>6、全面推行现场维保标准化作业。对产生噪声、振动的维保机械，采取有效的控制措施，减轻噪声污染。</w:t>
            </w:r>
          </w:p>
          <w:p>
            <w:pPr>
              <w:pStyle w:val="null3"/>
              <w:spacing w:before="105" w:after="105"/>
              <w:ind w:firstLine="560"/>
              <w:jc w:val="both"/>
            </w:pPr>
            <w:r>
              <w:rPr>
                <w:rFonts w:ascii="仿宋_GB2312" w:hAnsi="仿宋_GB2312" w:cs="仿宋_GB2312" w:eastAsia="仿宋_GB2312"/>
                <w:sz w:val="28"/>
              </w:rPr>
              <w:t>7、注意维保安全和环境保护工作。维保中如发现其他未尽事宜应及时通知有关单位协商解决。</w:t>
            </w:r>
          </w:p>
          <w:p>
            <w:pPr>
              <w:pStyle w:val="null3"/>
              <w:spacing w:before="105" w:after="105"/>
              <w:ind w:firstLine="561"/>
              <w:jc w:val="left"/>
            </w:pPr>
            <w:r>
              <w:rPr>
                <w:rFonts w:ascii="仿宋_GB2312" w:hAnsi="仿宋_GB2312" w:cs="仿宋_GB2312" w:eastAsia="仿宋_GB2312"/>
                <w:sz w:val="28"/>
                <w:b/>
              </w:rPr>
              <w:t>（三）维保工作要求：</w:t>
            </w:r>
          </w:p>
          <w:p>
            <w:pPr>
              <w:pStyle w:val="null3"/>
              <w:spacing w:before="105" w:after="105"/>
              <w:ind w:firstLine="560"/>
              <w:jc w:val="both"/>
            </w:pPr>
            <w:r>
              <w:rPr>
                <w:rFonts w:ascii="仿宋_GB2312" w:hAnsi="仿宋_GB2312" w:cs="仿宋_GB2312" w:eastAsia="仿宋_GB2312"/>
                <w:sz w:val="28"/>
              </w:rPr>
              <w:t>1、严格按照国家及西安市现行消防规范、规程和双方确认的消防维保合同为依据，做好消防系统的维修保养工作。</w:t>
            </w:r>
          </w:p>
          <w:p>
            <w:pPr>
              <w:pStyle w:val="null3"/>
              <w:spacing w:before="105" w:after="105"/>
              <w:ind w:firstLine="560"/>
              <w:jc w:val="both"/>
            </w:pPr>
            <w:r>
              <w:rPr>
                <w:rFonts w:ascii="仿宋_GB2312" w:hAnsi="仿宋_GB2312" w:cs="仿宋_GB2312" w:eastAsia="仿宋_GB2312"/>
                <w:sz w:val="28"/>
              </w:rPr>
              <w:t>2、对相关设备定期维护保养，发生故障时随叫随到，提供24小时技术响应服务。</w:t>
            </w:r>
          </w:p>
          <w:p>
            <w:pPr>
              <w:pStyle w:val="null3"/>
              <w:spacing w:before="105" w:after="105"/>
              <w:ind w:firstLine="560"/>
              <w:jc w:val="both"/>
            </w:pPr>
            <w:r>
              <w:rPr>
                <w:rFonts w:ascii="仿宋_GB2312" w:hAnsi="仿宋_GB2312" w:cs="仿宋_GB2312" w:eastAsia="仿宋_GB2312"/>
                <w:sz w:val="28"/>
              </w:rPr>
              <w:t>3、如维护保养工作超出日常范围时，应及时通知采购人对接人员，并由服务商根据现场情况，加派专业人员到场，保证按时保质完成工作目标，排除隐患故障。</w:t>
            </w:r>
          </w:p>
          <w:p>
            <w:pPr>
              <w:pStyle w:val="null3"/>
              <w:spacing w:before="105" w:after="105"/>
              <w:ind w:firstLine="560"/>
              <w:jc w:val="both"/>
            </w:pPr>
            <w:r>
              <w:rPr>
                <w:rFonts w:ascii="仿宋_GB2312" w:hAnsi="仿宋_GB2312" w:cs="仿宋_GB2312" w:eastAsia="仿宋_GB2312"/>
                <w:sz w:val="28"/>
              </w:rPr>
              <w:t>4、故障维修响应时间：误报立即解决；一般故障12小时内解决；较大故障24小时内解决；重大故障48小时内解决，确实无法在规定时间内完成的，服务商应出具专业报告，说明原因和方法，并提出合理化建议，同时做好预案措施，确保在此期间内的消防安全。</w:t>
            </w:r>
          </w:p>
          <w:p>
            <w:pPr>
              <w:pStyle w:val="null3"/>
              <w:spacing w:before="105" w:after="105"/>
              <w:ind w:firstLine="560"/>
              <w:jc w:val="both"/>
            </w:pPr>
            <w:r>
              <w:rPr>
                <w:rFonts w:ascii="仿宋_GB2312" w:hAnsi="仿宋_GB2312" w:cs="仿宋_GB2312" w:eastAsia="仿宋_GB2312"/>
                <w:sz w:val="28"/>
              </w:rPr>
              <w:t>5、维修保养过程中，更换的设备配件必须是合格产品，并在质保期内保证正常使用。</w:t>
            </w:r>
          </w:p>
          <w:p>
            <w:pPr>
              <w:pStyle w:val="null3"/>
              <w:spacing w:before="105" w:after="105"/>
              <w:ind w:firstLine="560"/>
              <w:jc w:val="both"/>
            </w:pPr>
            <w:r>
              <w:rPr>
                <w:rFonts w:ascii="仿宋_GB2312" w:hAnsi="仿宋_GB2312" w:cs="仿宋_GB2312" w:eastAsia="仿宋_GB2312"/>
                <w:sz w:val="28"/>
              </w:rPr>
              <w:t>6、服务商维保人员在实施维保工作中，注重安全交底教育，严格按照操作规程作业，确保维保安全，服务商工作人员人身安全保险由服务商自理。</w:t>
            </w:r>
          </w:p>
          <w:p>
            <w:pPr>
              <w:pStyle w:val="null3"/>
              <w:spacing w:before="105" w:after="105"/>
              <w:ind w:firstLine="560"/>
              <w:jc w:val="both"/>
            </w:pPr>
            <w:r>
              <w:rPr>
                <w:rFonts w:ascii="仿宋_GB2312" w:hAnsi="仿宋_GB2312" w:cs="仿宋_GB2312" w:eastAsia="仿宋_GB2312"/>
                <w:sz w:val="28"/>
              </w:rPr>
              <w:t>7、每次保养后，乙方须向甲方管理部门提供一份实事求是的且由采购人技术人员签名认可的保养记录，并由采购人对接人员验收签字确认。</w:t>
            </w:r>
          </w:p>
          <w:p>
            <w:pPr>
              <w:pStyle w:val="null3"/>
              <w:spacing w:before="105" w:after="105"/>
              <w:ind w:firstLine="560"/>
              <w:jc w:val="both"/>
            </w:pPr>
            <w:r>
              <w:rPr>
                <w:rFonts w:ascii="仿宋_GB2312" w:hAnsi="仿宋_GB2312" w:cs="仿宋_GB2312" w:eastAsia="仿宋_GB2312"/>
                <w:sz w:val="28"/>
              </w:rPr>
              <w:t>8、服务商维保工作人员严格采购人的管理制度，听从采购人有关人员的正确指挥，车辆物资进出均须经采购人审批同意后，方可执行。</w:t>
            </w:r>
          </w:p>
          <w:p>
            <w:pPr>
              <w:pStyle w:val="null3"/>
              <w:spacing w:before="105" w:after="105"/>
              <w:ind w:firstLine="560"/>
              <w:jc w:val="both"/>
            </w:pPr>
            <w:r>
              <w:rPr>
                <w:rFonts w:ascii="仿宋_GB2312" w:hAnsi="仿宋_GB2312" w:cs="仿宋_GB2312" w:eastAsia="仿宋_GB2312"/>
                <w:sz w:val="28"/>
              </w:rPr>
              <w:t>9、如服务商维修保养消防系统将可能影响到楼内日常生产办公时，须提前报请采购人批准后方可进行。</w:t>
            </w:r>
          </w:p>
          <w:p>
            <w:pPr>
              <w:pStyle w:val="null3"/>
              <w:spacing w:before="105" w:after="105"/>
              <w:ind w:firstLine="560"/>
              <w:jc w:val="both"/>
            </w:pPr>
            <w:r>
              <w:rPr>
                <w:rFonts w:ascii="仿宋_GB2312" w:hAnsi="仿宋_GB2312" w:cs="仿宋_GB2312" w:eastAsia="仿宋_GB2312"/>
                <w:sz w:val="28"/>
              </w:rPr>
              <w:t>10、甲方保证消防系统原设计所有功能正常，若因服务商维保不到位或维保过失，造成事故的，由服务商负责。</w:t>
            </w:r>
          </w:p>
          <w:p>
            <w:pPr>
              <w:pStyle w:val="null3"/>
              <w:spacing w:before="105" w:after="105"/>
              <w:ind w:firstLine="560"/>
              <w:jc w:val="both"/>
            </w:pPr>
            <w:r>
              <w:rPr>
                <w:rFonts w:ascii="仿宋_GB2312" w:hAnsi="仿宋_GB2312" w:cs="仿宋_GB2312" w:eastAsia="仿宋_GB2312"/>
                <w:sz w:val="28"/>
              </w:rPr>
              <w:t>11、根据消防主管部门规定，定期开展消防培训及演练计划需报采购人审批，并无条件向采购人提供力所能及的消防技术支持服务。</w:t>
            </w:r>
          </w:p>
          <w:p>
            <w:pPr>
              <w:pStyle w:val="null3"/>
              <w:spacing w:before="105" w:after="105"/>
              <w:ind w:firstLine="560"/>
              <w:jc w:val="both"/>
            </w:pPr>
            <w:r>
              <w:rPr>
                <w:rFonts w:ascii="仿宋_GB2312" w:hAnsi="仿宋_GB2312" w:cs="仿宋_GB2312" w:eastAsia="仿宋_GB2312"/>
                <w:sz w:val="28"/>
              </w:rPr>
              <w:t>12、消防维保工作要求做到巡查、总结需有真实文字记录，需有相应真实文字记录，并整理提交采购人备案留档。</w:t>
            </w:r>
          </w:p>
          <w:p>
            <w:pPr>
              <w:pStyle w:val="null3"/>
              <w:spacing w:before="105" w:after="105"/>
              <w:ind w:firstLine="560"/>
              <w:jc w:val="both"/>
            </w:pPr>
            <w:r>
              <w:rPr>
                <w:rFonts w:ascii="仿宋_GB2312" w:hAnsi="仿宋_GB2312" w:cs="仿宋_GB2312" w:eastAsia="仿宋_GB2312"/>
                <w:sz w:val="28"/>
              </w:rPr>
              <w:t>13、获得采购人授权委托后，服务商在授权范围内代理采购人做好消防主管部门的检查工作，包括：重点消防单位消防年度检查，季度或月度抽查，及不定期相关部门的检查。</w:t>
            </w:r>
          </w:p>
          <w:p>
            <w:pPr>
              <w:pStyle w:val="null3"/>
              <w:spacing w:before="105" w:after="105"/>
              <w:ind w:firstLine="560"/>
              <w:jc w:val="both"/>
            </w:pPr>
            <w:r>
              <w:rPr>
                <w:rFonts w:ascii="仿宋_GB2312" w:hAnsi="仿宋_GB2312" w:cs="仿宋_GB2312" w:eastAsia="仿宋_GB2312"/>
                <w:sz w:val="28"/>
              </w:rPr>
              <w:t>14、日常消防维保工作包括但应不限于以上内容，应接受采购人安排与合同约定消防相关的临时性工作，确保设备设施运转达到消防主管部门要求标准，能够通过消防部门各项检查。</w:t>
            </w:r>
          </w:p>
          <w:p>
            <w:pPr>
              <w:pStyle w:val="null3"/>
              <w:spacing w:before="105" w:after="105"/>
              <w:ind w:firstLine="561"/>
              <w:jc w:val="both"/>
            </w:pPr>
            <w:r>
              <w:rPr>
                <w:rFonts w:ascii="仿宋_GB2312" w:hAnsi="仿宋_GB2312" w:cs="仿宋_GB2312" w:eastAsia="仿宋_GB2312"/>
                <w:sz w:val="28"/>
                <w:b/>
              </w:rPr>
              <w:t>（四）人员配备要求：</w:t>
            </w:r>
          </w:p>
          <w:p>
            <w:pPr>
              <w:pStyle w:val="null3"/>
              <w:spacing w:before="105" w:after="105"/>
              <w:ind w:firstLine="560"/>
              <w:jc w:val="both"/>
            </w:pPr>
            <w:r>
              <w:rPr>
                <w:rFonts w:ascii="仿宋_GB2312" w:hAnsi="仿宋_GB2312" w:cs="仿宋_GB2312" w:eastAsia="仿宋_GB2312"/>
                <w:sz w:val="28"/>
              </w:rPr>
              <w:t>★1、项目经理为一级注册消防工程师。</w:t>
            </w:r>
          </w:p>
          <w:p>
            <w:pPr>
              <w:pStyle w:val="null3"/>
              <w:spacing w:before="105" w:after="105"/>
              <w:ind w:firstLine="560"/>
              <w:jc w:val="both"/>
            </w:pPr>
            <w:r>
              <w:rPr>
                <w:rFonts w:ascii="仿宋_GB2312" w:hAnsi="仿宋_GB2312" w:cs="仿宋_GB2312" w:eastAsia="仿宋_GB2312"/>
                <w:sz w:val="28"/>
              </w:rPr>
              <w:t>★2、技术负责人为一级注册消防工程师。</w:t>
            </w:r>
          </w:p>
          <w:p>
            <w:pPr>
              <w:pStyle w:val="null3"/>
              <w:spacing w:before="105" w:after="105"/>
              <w:ind w:firstLine="560"/>
              <w:jc w:val="both"/>
            </w:pPr>
            <w:r>
              <w:rPr>
                <w:rFonts w:ascii="仿宋_GB2312" w:hAnsi="仿宋_GB2312" w:cs="仿宋_GB2312" w:eastAsia="仿宋_GB2312"/>
                <w:sz w:val="28"/>
              </w:rPr>
              <w:t>3、24小时驻场维保人员需具有中级及以上消防设施操作员证书（维保检测方向）。</w:t>
            </w:r>
          </w:p>
          <w:p>
            <w:pPr>
              <w:pStyle w:val="null3"/>
              <w:spacing w:before="105" w:after="105"/>
              <w:ind w:firstLine="560"/>
              <w:jc w:val="both"/>
            </w:pPr>
            <w:r>
              <w:rPr>
                <w:rFonts w:ascii="仿宋_GB2312" w:hAnsi="仿宋_GB2312" w:cs="仿宋_GB2312" w:eastAsia="仿宋_GB2312"/>
                <w:sz w:val="28"/>
              </w:rPr>
              <w:t>4、服务商人员配备至少需要2名一级注册消防工程师（2名一级注册消防工程师可以为项目经理和技术负责人），配备至少5名消防设施操作员，并且以上人员信息需要在社会消防技术服务网站上查询到信息。</w:t>
            </w:r>
          </w:p>
          <w:p>
            <w:pPr>
              <w:pStyle w:val="null3"/>
              <w:ind w:firstLine="560"/>
              <w:jc w:val="both"/>
            </w:pPr>
            <w:r>
              <w:rPr>
                <w:rFonts w:ascii="仿宋_GB2312" w:hAnsi="仿宋_GB2312" w:cs="仿宋_GB2312" w:eastAsia="仿宋_GB2312"/>
                <w:sz w:val="28"/>
              </w:rPr>
              <w:t>★5、服务团体不少于7人（含项目经理和技术负责人）。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一年，以双方签订合同时约定的起止时间为准。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乙方维保满壹年后经甲方验收合格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1、请成交供应商在领取成交通知书时，递交响应文件一正一副，2份U盘电子版（word 、PDF签章扫描版）（纸质文件与线上评审电子文件保持一致）；2、本项目专门面向中小企业。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资格要求.docx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资格要求.docx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本项目专门面向中小企业采购，供应商提供中小企业声明函；</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非联合体磋商承诺</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资格要求.docx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响应文件格式、语言、计量单位、报价货币</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费用明细表.docx 响应文件封面 资格要求.docx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费用明细表.docx 响应文件封面 资格要求.docx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完全响应磋商文件要求的各项实质性条款。（第三章标注★号的为实质性条款，未设置实质性条款时可忽略此项）</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费用明细表.docx 响应文件封面 资格要求.docx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费用明细表.docx 响应文件封面 资格要求.docx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费用明细表.docx 响应文件封面 资格要求.docx 残疾人福利性单位声明函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供应商结合本项目实际情况提供总体服务方案，至少包含 ①日常维护保养方案； ②月度全面维护检测和常规保养方案； ③半年全面维护检测与常规保养方案； ④年度全面维护检测与常规保养方案。 二、评审标准 1、完整性：方案必须全面，对评审内容中的各项要求有详细描述； 2、可实施性：切合本项目实际情况，提出步骤清晰、合理的方案； 3、针对性：方案能够紧扣项目实际情况，内容科学合理。 三、赋分标准（满分12分） ①日常维护保养方案:每完全满足一个评审标准得 1分，满分3分； ②月度全面维护检测和常规保养方案:每完全满足一个评审标准得 1分，满分3分； ③半年全面维护检测与常规保养方案:每完全满足一个评审标准得 1分，满分3分； ④年度全面维护检测与常规保养方案:每完全满足一个评审标准得 1分，满分3分； 未提供相关内容不得分。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供应商结合本项目实际情况提供实施方案，至少包含 ①消防维保控制要点； ②消防维保重点难点分析； ③消防维保故障排除； ④故障处理措施； ⑤安全维护保障； ⑥拟投入的设备、机具、耗材。 二、评审标准 1、完整性：方案必须全面，对评审内容中的各项要求有详细描述； 2、可实施性：切合本项目实际情况，提出步骤清晰、合理的方案； 3、针对性：方案能够紧扣项目实际情况，内容科学合理。 三、赋分标准（满分18分） ①消防维保控制要点：每完全满足一个评审标准得 1分，满分3分； ②消防维保重点难点分析：每完全满足一个评审标准得 1分，满分3分； ③消防维保故障排除：每完全满足一个评审标准得 1分，满分3分； ④故障处理措施：每完全满足一个评审标准得 1分，满分3分； ⑤安全维护保障：每完全满足一个评审标准得 1分，满分3分； ⑥拟投入的设备、机具、耗材：每完全满足一个评审标准得 1分，满分3分；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项目人员配置情况</w:t>
            </w:r>
          </w:p>
        </w:tc>
        <w:tc>
          <w:tcPr>
            <w:tcW w:type="dxa" w:w="2492"/>
          </w:tcPr>
          <w:p>
            <w:pPr>
              <w:pStyle w:val="null3"/>
            </w:pPr>
            <w:r>
              <w:rPr>
                <w:rFonts w:ascii="仿宋_GB2312" w:hAnsi="仿宋_GB2312" w:cs="仿宋_GB2312" w:eastAsia="仿宋_GB2312"/>
              </w:rPr>
              <w:t>一、结合本项目要求，配备满足采购需求的相项目团队维护人员，至少包含 ①团队人员整体配置； ②团队人员管理制度； ③团队人员考核。 二、评审标准 1、完整性：方案必须全面，对评审内容中的各项要求有详细描述； 2、可实施性：切合本项目实际情况，提出步骤清晰、合理的方案； 3、针对性：方案能够紧扣项目实际情况，内容科学合理。 三、赋分标准（满分9分） ①团队人员整体配置：每完全满足一个评审标准得 1分，满分3分； ②团队人员管理制度：每完全满足一个评审标准得 1分，满分3分； ③团队人员考核：每完全满足一个评审标准得 1分，满分3分； 未提供相关内容不得分。 所有人员需提供劳动合同复印件、近六个月内任意月份的社保证明材料、有效期内的证书、“社会消防技术服务信息系统”中备案相应截图打印件，以“社会消防技术服务信息系统”（https://shhxf.119.gov.cn/templet/index_7.jsp）网站查询结果为准，证明材料不齐全、不完整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供应商提供针对本项目的服务人员培训方案，至少包含 ①培训计划与进度： ②培训内容； ③培训专业能力与形式。 二、评审标准 1、完整性：方案必须全面，对评审内容中的各项要求有详细描述； 2、可实施性：切合本项目实际情况，提出步骤清晰、合理的方案； 3、针对性：方案能够紧扣项目实际情况，内容科学合理。 三、赋分标准（满分9分） ①培训计划与进度：每完全满足一个评审标准得 1分，满分3分； ②培训内容：每完全满足一个评审标准得 1分，满分3分； ③培训专业能力与形式：每完全满足一个评审标准得 1分，满分3分；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供应商提供针对本项目的服务质量保证措施。至少包括 ①服务质量管理制度措施； ②质量保证措施。 二、评审标准 1、完整性：方案必须全面，对评审内容中的各项要求有详细描述； 2、可实施性：切合本项目实际情况，提出步骤清晰、合理的方案； 3、针对性：方案能够紧扣项目实际情况，内容科学合理。 三、赋分标准（满分6分） ①服务质量管理制度措施：每完全满足一个评审标准得 1分，满分3分； ②质量保证措施：每完全满足一个评审标准得 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供应商针对本项目提供应急预案，至少包括 ①可能发生的应急事故情况分析； ②应急响应时间； ③紧急安全保障措施。 二、评审标准 1、完整性：方案必须全面，对评审内容中的各项要求有详细描述； 2、可实施性：切合本项目实际情况，提出步骤清晰、合理的方案； 3、针对性：方案能够紧扣项目实际情况，内容科学合理。 三、赋分标准（满分9分） ①可能发生的应急事故情况分析：每完全满足一个评审标准得 1分，满分3分； ②应急响应时间：每完全满足一个评审标准得 1分，满分3分； ③紧急安全保障措施：每完全满足一个评审标准得 1分，满分3分；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供应商针对本项目提供具体可行的服务承诺，至少包括 ①服务质量承诺； ②按时做好消防设施资料建档工作，及时更新台帐资料承诺； ③服务响应时限、人员到位、安全保障 二、评审标准 1、完整性：方案必须全面，对评审内容中的各项要求有详细描述； 2、可实施性：切合本项目实际情况，提出步骤清晰、合理的方案； 3、针对性：方案能够紧扣项目实际情况，内容科学合理。 三、赋分标准（满分9分） ①服务质量承诺：每完全满足一个评审标准得 1分，满分3分； ②按时做好消防设施资料建档工作，及时更新台帐资料承诺：每完全满足一个评审标准得 1分，满分3分； ③服务响应时限、人员到位、安全保障：每完全满足一个评审标准得 1分，满分3分；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供应商提供有利于本项目实施的合理化建议，至少包括 ①合理化建议内容； ②优化措施； ③创新思路； 二、评审标准 1、完整性：方案必须全面，对评审内容中的各项要求有详细描述； 2、可实施性：切合本项目实际情况，提出步骤清晰、合理的方案； 3、针对性：方案能够紧扣项目实际情况，内容科学合理。 三、赋分标准（满分9分） ①合理化建议内容：每完全满足一个评审标准得 1分，满分3分； ②优化措施：每完全满足一个评审标准得 1分，满分3分； ③创新思路：每完全满足一个评审标准得 1分，满分3分；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供应商提供2023年1月1日至今类似项目合同(以合同签订日期为准)，每提供1个业绩得3分，最高得9分。 注：响应文件中提供合同复印件或扫描件为计分依据。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2、满足磋商文件实质性要求且最终报价最低的供应商的价格为磋商基准价，其价格分为满10分。 3、磋商报价得分=（磋商基准价/最终磋商报价）×10。 4、磋商报价不完整的，不进入磋商基准价的计算，本项得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费用明细表.docx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详见附件：费用明细表.docx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详见附件：资格要求.docx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