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15BBDD">
      <w:pPr>
        <w:pStyle w:val="2"/>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8"/>
          <w:szCs w:val="28"/>
          <w:highlight w:val="none"/>
        </w:rPr>
      </w:pPr>
      <w:bookmarkStart w:id="0" w:name="_GoBack"/>
      <w:r>
        <w:rPr>
          <w:rFonts w:hint="eastAsia" w:ascii="仿宋" w:hAnsi="仿宋" w:eastAsia="仿宋" w:cs="仿宋"/>
          <w:color w:val="000000"/>
          <w:sz w:val="28"/>
          <w:szCs w:val="28"/>
          <w:highlight w:val="none"/>
        </w:rPr>
        <w:t>西安市第一医院工程类合同</w:t>
      </w:r>
    </w:p>
    <w:p w14:paraId="7475C3F4">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甲方：西安市第一医院</w:t>
      </w:r>
    </w:p>
    <w:p w14:paraId="665F9A8E">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地址：西安市碑林区粉巷 30 号</w:t>
      </w:r>
    </w:p>
    <w:p w14:paraId="04A306B4">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联系人：</w:t>
      </w:r>
    </w:p>
    <w:p w14:paraId="728A65EF">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电话：</w:t>
      </w:r>
    </w:p>
    <w:p w14:paraId="50F3557D">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p>
    <w:p w14:paraId="5D524C88">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乙方：</w:t>
      </w:r>
    </w:p>
    <w:p w14:paraId="4D3ADCD6">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地址：</w:t>
      </w:r>
    </w:p>
    <w:p w14:paraId="48294E51">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联系人：</w:t>
      </w:r>
    </w:p>
    <w:p w14:paraId="414BD879">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电话：</w:t>
      </w:r>
    </w:p>
    <w:p w14:paraId="5C8C4CC2">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依照《中华人民共和国民法典》、本项目采购文件、投标文件及有关法律法规等的规定，结合建筑装饰装修工程施工的特点，双方在协商一致的基础上，就甲方的装饰装修工程 (以下简称工程) 的有关事宜，达成如下协议：</w:t>
      </w:r>
    </w:p>
    <w:p w14:paraId="1214C4AA">
      <w:pPr>
        <w:pStyle w:val="3"/>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工程概况及承包方式</w:t>
      </w:r>
    </w:p>
    <w:p w14:paraId="4D08CC02">
      <w:pPr>
        <w:pStyle w:val="6"/>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工程名称：</w:t>
      </w:r>
    </w:p>
    <w:p w14:paraId="15B75F2B">
      <w:pPr>
        <w:pStyle w:val="6"/>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工程地点：西安市第一医院粉巷院区</w:t>
      </w:r>
    </w:p>
    <w:p w14:paraId="67DCFC35">
      <w:pPr>
        <w:pStyle w:val="6"/>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工程承包方式：包工包料</w:t>
      </w:r>
    </w:p>
    <w:p w14:paraId="0D6E2E62">
      <w:pPr>
        <w:pStyle w:val="3"/>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工程装修内容</w:t>
      </w:r>
    </w:p>
    <w:p w14:paraId="1263B30D">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见工程量清单</w:t>
      </w:r>
    </w:p>
    <w:p w14:paraId="6878D9CD">
      <w:pPr>
        <w:pStyle w:val="3"/>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三</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工程造价</w:t>
      </w:r>
    </w:p>
    <w:p w14:paraId="67517A34">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工程造价以甲方的工程量清单及乙方现场踏勘内容为依据。</w:t>
      </w:r>
    </w:p>
    <w:p w14:paraId="1F58ECB2">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工程造价为 (人民币大写)：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，小写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元，工程量以工程竣工后经甲乙双方共同确认的实际工程量为准，最终结算价格以甲方委托第三方审计机构进行结算审计后的金额为准。</w:t>
      </w:r>
    </w:p>
    <w:p w14:paraId="74EB3649">
      <w:pPr>
        <w:pStyle w:val="3"/>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四</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工程期限</w:t>
      </w:r>
    </w:p>
    <w:p w14:paraId="27814677">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工程合同签订日起</w:t>
      </w:r>
      <w:r>
        <w:rPr>
          <w:rFonts w:hint="eastAsia" w:ascii="仿宋" w:hAnsi="仿宋" w:eastAsia="仿宋" w:cs="仿宋"/>
          <w:sz w:val="28"/>
          <w:szCs w:val="28"/>
          <w:highlight w:val="none"/>
          <w:u w:val="single"/>
          <w:lang w:val="en-US" w:eastAsia="zh-CN"/>
        </w:rPr>
        <w:t xml:space="preserve"> 60 </w:t>
      </w:r>
      <w:r>
        <w:rPr>
          <w:rFonts w:hint="eastAsia" w:ascii="仿宋" w:hAnsi="仿宋" w:eastAsia="仿宋" w:cs="仿宋"/>
          <w:sz w:val="28"/>
          <w:szCs w:val="28"/>
          <w:highlight w:val="none"/>
        </w:rPr>
        <w:t>日完工。</w:t>
      </w:r>
    </w:p>
    <w:p w14:paraId="6F63D9D8">
      <w:pPr>
        <w:pStyle w:val="3"/>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五</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质量要求</w:t>
      </w:r>
    </w:p>
    <w:p w14:paraId="6D84D4B9">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工程验收按《建筑装饰装修工程质量验收规范》（GB50210-2018）、《综合医院建筑设计规范》（GB51039-2014）、《综合医院建筑标准》（2018 年正式版）等执行。工程竣工后如出现质量问题（竣工后甲方使用，人为造成的质量问题除外），属于乙方责任的，乙方无偿保修。</w:t>
      </w:r>
    </w:p>
    <w:p w14:paraId="2EB007D8">
      <w:pPr>
        <w:pStyle w:val="6"/>
        <w:keepNext w:val="0"/>
        <w:keepLines w:val="0"/>
        <w:pageBreakBefore w:val="0"/>
        <w:numPr>
          <w:ilvl w:val="0"/>
          <w:numId w:val="0"/>
        </w:numPr>
        <w:kinsoku/>
        <w:wordWrap/>
        <w:overflowPunct/>
        <w:topLinePunct w:val="0"/>
        <w:autoSpaceDE/>
        <w:autoSpaceDN/>
        <w:bidi w:val="0"/>
        <w:adjustRightInd/>
        <w:snapToGrid w:val="0"/>
        <w:spacing w:line="240" w:lineRule="auto"/>
        <w:ind w:left="0" w:leftChars="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六、质保期</w:t>
      </w:r>
    </w:p>
    <w:p w14:paraId="04F5B2C6">
      <w:pPr>
        <w:pStyle w:val="6"/>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default" w:ascii="仿宋" w:hAnsi="仿宋" w:eastAsia="仿宋" w:cs="仿宋"/>
          <w:sz w:val="44"/>
          <w:szCs w:val="44"/>
          <w:highlight w:val="none"/>
          <w:lang w:val="en-US" w:eastAsia="zh-CN"/>
        </w:rPr>
      </w:pPr>
      <w:r>
        <w:rPr>
          <w:rFonts w:hint="eastAsia" w:ascii="仿宋" w:hAnsi="仿宋" w:eastAsia="仿宋" w:cs="仿宋"/>
          <w:color w:val="000000"/>
          <w:sz w:val="28"/>
          <w:szCs w:val="28"/>
          <w:highlight w:val="none"/>
        </w:rPr>
        <w:t>质保期：本项目竣工验收合格通过之日起</w:t>
      </w:r>
      <w:r>
        <w:rPr>
          <w:rFonts w:hint="eastAsia" w:ascii="仿宋" w:hAnsi="仿宋" w:eastAsia="仿宋" w:cs="仿宋"/>
          <w:color w:val="000000"/>
          <w:sz w:val="28"/>
          <w:szCs w:val="28"/>
          <w:highlight w:val="none"/>
          <w:lang w:val="en-US" w:eastAsia="zh-CN"/>
        </w:rPr>
        <w:t>两</w:t>
      </w:r>
      <w:r>
        <w:rPr>
          <w:rFonts w:hint="eastAsia" w:ascii="仿宋" w:hAnsi="仿宋" w:eastAsia="仿宋" w:cs="仿宋"/>
          <w:color w:val="000000"/>
          <w:sz w:val="28"/>
          <w:szCs w:val="28"/>
          <w:highlight w:val="none"/>
        </w:rPr>
        <w:t>年</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防水工程质保五年</w:t>
      </w:r>
      <w:r>
        <w:rPr>
          <w:rFonts w:hint="eastAsia" w:ascii="仿宋" w:hAnsi="仿宋" w:eastAsia="仿宋" w:cs="仿宋"/>
          <w:color w:val="000000"/>
          <w:sz w:val="28"/>
          <w:szCs w:val="28"/>
          <w:highlight w:val="none"/>
          <w:lang w:eastAsia="zh-CN"/>
        </w:rPr>
        <w:t>）。</w:t>
      </w:r>
    </w:p>
    <w:p w14:paraId="3F6D375E">
      <w:pPr>
        <w:pStyle w:val="3"/>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b/>
          <w:bCs/>
          <w:kern w:val="0"/>
          <w:sz w:val="28"/>
          <w:szCs w:val="28"/>
          <w:highlight w:val="none"/>
          <w:lang w:val="en-US" w:eastAsia="zh-CN"/>
        </w:rPr>
      </w:pPr>
      <w:r>
        <w:rPr>
          <w:rFonts w:hint="eastAsia" w:ascii="仿宋" w:hAnsi="仿宋" w:eastAsia="仿宋" w:cs="仿宋"/>
          <w:sz w:val="28"/>
          <w:szCs w:val="28"/>
          <w:highlight w:val="none"/>
          <w:lang w:val="en-US" w:eastAsia="zh-CN"/>
        </w:rPr>
        <w:t>七</w:t>
      </w:r>
      <w:r>
        <w:rPr>
          <w:rFonts w:hint="eastAsia" w:ascii="仿宋" w:hAnsi="仿宋" w:eastAsia="仿宋" w:cs="仿宋"/>
          <w:sz w:val="28"/>
          <w:szCs w:val="28"/>
          <w:highlight w:val="none"/>
          <w:lang w:eastAsia="zh-CN"/>
        </w:rPr>
        <w:t>、</w:t>
      </w:r>
      <w:r>
        <w:rPr>
          <w:rFonts w:hint="eastAsia" w:ascii="仿宋" w:hAnsi="仿宋" w:eastAsia="仿宋" w:cs="仿宋"/>
          <w:b/>
          <w:bCs/>
          <w:kern w:val="0"/>
          <w:sz w:val="28"/>
          <w:szCs w:val="28"/>
          <w:highlight w:val="none"/>
          <w:lang w:val="en-US" w:eastAsia="zh-CN"/>
        </w:rPr>
        <w:t>验收方案：</w:t>
      </w:r>
    </w:p>
    <w:p w14:paraId="39C67884">
      <w:pPr>
        <w:keepNext w:val="0"/>
        <w:keepLines w:val="0"/>
        <w:pageBreakBefore w:val="0"/>
        <w:widowControl w:val="0"/>
        <w:kinsoku/>
        <w:wordWrap/>
        <w:overflowPunct/>
        <w:topLinePunct w:val="0"/>
        <w:autoSpaceDE/>
        <w:autoSpaceDN/>
        <w:bidi w:val="0"/>
        <w:adjustRightInd/>
        <w:snapToGrid w:val="0"/>
        <w:textAlignment w:val="auto"/>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1.验收内容：本项目所含所有工程量。</w:t>
      </w:r>
    </w:p>
    <w:p w14:paraId="5A97D985">
      <w:pPr>
        <w:keepNext w:val="0"/>
        <w:keepLines w:val="0"/>
        <w:pageBreakBefore w:val="0"/>
        <w:widowControl w:val="0"/>
        <w:kinsoku/>
        <w:wordWrap/>
        <w:overflowPunct/>
        <w:topLinePunct w:val="0"/>
        <w:autoSpaceDE/>
        <w:autoSpaceDN/>
        <w:bidi w:val="0"/>
        <w:adjustRightInd/>
        <w:snapToGrid w:val="0"/>
        <w:textAlignment w:val="auto"/>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2.责任主体：严格监督各方责任主体按照《中华人民共和国工程质量管理条例》中的质量责任和义务履行其职责。</w:t>
      </w:r>
    </w:p>
    <w:p w14:paraId="728FF3B3">
      <w:pPr>
        <w:keepNext w:val="0"/>
        <w:keepLines w:val="0"/>
        <w:pageBreakBefore w:val="0"/>
        <w:widowControl w:val="0"/>
        <w:kinsoku/>
        <w:wordWrap/>
        <w:overflowPunct/>
        <w:topLinePunct w:val="0"/>
        <w:autoSpaceDE/>
        <w:autoSpaceDN/>
        <w:bidi w:val="0"/>
        <w:adjustRightInd/>
        <w:snapToGrid w:val="0"/>
        <w:textAlignment w:val="auto"/>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3.验收方法：</w:t>
      </w:r>
      <w:r>
        <w:rPr>
          <w:rFonts w:hint="eastAsia" w:ascii="仿宋" w:hAnsi="仿宋" w:eastAsia="仿宋" w:cs="仿宋"/>
          <w:b w:val="0"/>
          <w:bCs w:val="0"/>
          <w:color w:val="000000"/>
          <w:sz w:val="28"/>
          <w:szCs w:val="28"/>
          <w:highlight w:val="none"/>
        </w:rPr>
        <w:t>依据有关法律、法规、工程建设强制性标准、</w:t>
      </w:r>
      <w:r>
        <w:rPr>
          <w:rFonts w:hint="eastAsia" w:ascii="仿宋" w:hAnsi="仿宋" w:eastAsia="仿宋" w:cs="仿宋"/>
          <w:b w:val="0"/>
          <w:bCs w:val="0"/>
          <w:color w:val="000000"/>
          <w:sz w:val="28"/>
          <w:szCs w:val="28"/>
          <w:highlight w:val="none"/>
          <w:lang w:val="en-US" w:eastAsia="zh-CN"/>
        </w:rPr>
        <w:t>磋商</w:t>
      </w:r>
      <w:r>
        <w:rPr>
          <w:rFonts w:hint="eastAsia" w:ascii="仿宋" w:hAnsi="仿宋" w:eastAsia="仿宋" w:cs="仿宋"/>
          <w:b w:val="0"/>
          <w:bCs w:val="0"/>
          <w:color w:val="000000"/>
          <w:sz w:val="28"/>
          <w:szCs w:val="28"/>
          <w:highlight w:val="none"/>
          <w:lang w:val="en-US" w:eastAsia="zh-CN"/>
        </w:rPr>
        <w:t>文件、</w:t>
      </w:r>
      <w:r>
        <w:rPr>
          <w:rFonts w:hint="eastAsia" w:ascii="仿宋" w:hAnsi="仿宋" w:eastAsia="仿宋" w:cs="仿宋"/>
          <w:b w:val="0"/>
          <w:bCs w:val="0"/>
          <w:color w:val="000000"/>
          <w:sz w:val="28"/>
          <w:szCs w:val="28"/>
          <w:highlight w:val="none"/>
          <w:lang w:val="en-US" w:eastAsia="zh-CN"/>
        </w:rPr>
        <w:t>响应</w:t>
      </w:r>
      <w:r>
        <w:rPr>
          <w:rFonts w:hint="eastAsia" w:ascii="仿宋" w:hAnsi="仿宋" w:eastAsia="仿宋" w:cs="仿宋"/>
          <w:b w:val="0"/>
          <w:bCs w:val="0"/>
          <w:color w:val="000000"/>
          <w:sz w:val="28"/>
          <w:szCs w:val="28"/>
          <w:highlight w:val="none"/>
          <w:lang w:val="en-US" w:eastAsia="zh-CN"/>
        </w:rPr>
        <w:t>文件及</w:t>
      </w:r>
      <w:r>
        <w:rPr>
          <w:rFonts w:hint="eastAsia" w:ascii="仿宋" w:hAnsi="仿宋" w:eastAsia="仿宋" w:cs="仿宋"/>
          <w:b w:val="0"/>
          <w:bCs w:val="0"/>
          <w:color w:val="000000"/>
          <w:sz w:val="28"/>
          <w:szCs w:val="28"/>
          <w:highlight w:val="none"/>
        </w:rPr>
        <w:t>施工合同,对报送的竣工资料审查合格后,组织施工、及医院相关部门等进行竣工验收</w:t>
      </w:r>
      <w:r>
        <w:rPr>
          <w:rFonts w:hint="eastAsia" w:ascii="仿宋" w:hAnsi="仿宋" w:eastAsia="仿宋" w:cs="仿宋"/>
          <w:kern w:val="0"/>
          <w:sz w:val="28"/>
          <w:szCs w:val="28"/>
          <w:highlight w:val="none"/>
          <w:lang w:val="en-US" w:eastAsia="zh-CN"/>
        </w:rPr>
        <w:t>。</w:t>
      </w:r>
    </w:p>
    <w:p w14:paraId="348DF574">
      <w:pPr>
        <w:keepNext w:val="0"/>
        <w:keepLines w:val="0"/>
        <w:pageBreakBefore w:val="0"/>
        <w:widowControl w:val="0"/>
        <w:kinsoku/>
        <w:wordWrap/>
        <w:overflowPunct/>
        <w:topLinePunct w:val="0"/>
        <w:autoSpaceDE/>
        <w:autoSpaceDN/>
        <w:bidi w:val="0"/>
        <w:adjustRightInd/>
        <w:snapToGrid w:val="0"/>
        <w:textAlignment w:val="auto"/>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4.验收程序：工程项目完成后,施工单位向总务科提供完整的竣工资料和竣工验收报告。总务科收到竣工验收申请报告后,依据有关标准对报送的竣工资料审查合格后,组织施工及医院相关部门等进行竣工初步验收。对存在的问题和工程中的质量缺陷进行检查、记录, 并限期整改；对验收合格的工程,签署竣工验收材料。工程项目最终经总务科组织的验收小组验收合格后,方可交付使用。</w:t>
      </w:r>
    </w:p>
    <w:p w14:paraId="7059685E">
      <w:pPr>
        <w:keepNext w:val="0"/>
        <w:keepLines w:val="0"/>
        <w:pageBreakBefore w:val="0"/>
        <w:widowControl w:val="0"/>
        <w:kinsoku/>
        <w:wordWrap/>
        <w:overflowPunct/>
        <w:topLinePunct w:val="0"/>
        <w:autoSpaceDE/>
        <w:autoSpaceDN/>
        <w:bidi w:val="0"/>
        <w:adjustRightInd/>
        <w:snapToGrid w:val="0"/>
        <w:textAlignment w:val="auto"/>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5.技术要求：质量标准符合本项目采购要求、《建筑装饰装修工程质量验收规范》（GB50210-2018）、《综合医院建筑设计规范》（GB51039-2014）、《综合医院建筑标准》（2018 年正式版）及国家、陕西省、西安市现行工程质量验评标准。</w:t>
      </w:r>
    </w:p>
    <w:p w14:paraId="5DB7C83A">
      <w:pPr>
        <w:keepNext w:val="0"/>
        <w:keepLines w:val="0"/>
        <w:pageBreakBefore w:val="0"/>
        <w:widowControl w:val="0"/>
        <w:kinsoku/>
        <w:wordWrap/>
        <w:overflowPunct/>
        <w:topLinePunct w:val="0"/>
        <w:autoSpaceDE/>
        <w:autoSpaceDN/>
        <w:bidi w:val="0"/>
        <w:adjustRightInd/>
        <w:snapToGrid w:val="0"/>
        <w:textAlignment w:val="auto"/>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6.参加验收人员：由总务科、使用科室、医院相关科室、施工方等相关人员组成验收小组进行履约验收。</w:t>
      </w:r>
    </w:p>
    <w:p w14:paraId="6CB5FC05">
      <w:pPr>
        <w:rPr>
          <w:rFonts w:hint="eastAsia" w:ascii="仿宋" w:hAnsi="仿宋" w:eastAsia="仿宋" w:cs="仿宋"/>
          <w:sz w:val="28"/>
          <w:szCs w:val="28"/>
          <w:highlight w:val="none"/>
          <w:lang w:val="en-US" w:eastAsia="zh-CN"/>
        </w:rPr>
      </w:pPr>
      <w:r>
        <w:rPr>
          <w:rFonts w:hint="eastAsia" w:ascii="仿宋" w:hAnsi="仿宋" w:eastAsia="仿宋" w:cs="仿宋"/>
          <w:b/>
          <w:bCs/>
          <w:kern w:val="0"/>
          <w:sz w:val="28"/>
          <w:szCs w:val="28"/>
          <w:highlight w:val="none"/>
          <w:lang w:val="en-US" w:eastAsia="zh-CN"/>
        </w:rPr>
        <w:t>八、付款方式：</w:t>
      </w:r>
    </w:p>
    <w:p w14:paraId="5748C756">
      <w:pPr>
        <w:pStyle w:val="6"/>
        <w:keepNext w:val="0"/>
        <w:keepLines w:val="0"/>
        <w:pageBreakBefore w:val="0"/>
        <w:widowControl/>
        <w:numPr>
          <w:ilvl w:val="0"/>
          <w:numId w:val="0"/>
        </w:numPr>
        <w:kinsoku/>
        <w:wordWrap/>
        <w:overflowPunct/>
        <w:topLinePunct w:val="0"/>
        <w:autoSpaceDE/>
        <w:autoSpaceDN/>
        <w:bidi w:val="0"/>
        <w:adjustRightInd/>
        <w:snapToGrid w:val="0"/>
        <w:spacing w:line="240" w:lineRule="auto"/>
        <w:ind w:leftChars="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1.合同签订后预付合同款的40%。</w:t>
      </w:r>
    </w:p>
    <w:p w14:paraId="538A7C0F">
      <w:pPr>
        <w:pStyle w:val="6"/>
        <w:keepNext w:val="0"/>
        <w:keepLines w:val="0"/>
        <w:pageBreakBefore w:val="0"/>
        <w:widowControl/>
        <w:numPr>
          <w:ilvl w:val="0"/>
          <w:numId w:val="0"/>
        </w:numPr>
        <w:kinsoku/>
        <w:wordWrap/>
        <w:overflowPunct/>
        <w:topLinePunct w:val="0"/>
        <w:autoSpaceDE/>
        <w:autoSpaceDN/>
        <w:bidi w:val="0"/>
        <w:adjustRightInd/>
        <w:snapToGrid w:val="0"/>
        <w:spacing w:line="240" w:lineRule="auto"/>
        <w:ind w:leftChars="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2.工程验收合格后，达到付款条件后支付合同款的60%，付款前供应商向采购人提供中标金额3%的保函。</w:t>
      </w:r>
      <w:r>
        <w:rPr>
          <w:rFonts w:hint="eastAsia" w:ascii="仿宋" w:hAnsi="仿宋" w:eastAsia="仿宋" w:cs="仿宋"/>
          <w:sz w:val="28"/>
          <w:szCs w:val="28"/>
          <w:highlight w:val="none"/>
          <w:lang w:val="en-US" w:eastAsia="zh-CN"/>
        </w:rPr>
        <w:t>质保期满后，</w:t>
      </w:r>
      <w:r>
        <w:rPr>
          <w:rFonts w:hint="eastAsia" w:ascii="仿宋" w:hAnsi="仿宋" w:eastAsia="仿宋" w:cs="仿宋"/>
          <w:sz w:val="28"/>
          <w:szCs w:val="28"/>
          <w:highlight w:val="none"/>
          <w:lang w:val="en-US" w:eastAsia="zh-CN"/>
        </w:rPr>
        <w:t>无质量问题，采购人应于 15 个工作日内退还保函。</w:t>
      </w:r>
    </w:p>
    <w:p w14:paraId="28E96F28">
      <w:pPr>
        <w:pStyle w:val="6"/>
        <w:keepNext w:val="0"/>
        <w:keepLines w:val="0"/>
        <w:pageBreakBefore w:val="0"/>
        <w:widowControl/>
        <w:numPr>
          <w:ilvl w:val="0"/>
          <w:numId w:val="0"/>
        </w:numPr>
        <w:kinsoku/>
        <w:wordWrap/>
        <w:overflowPunct/>
        <w:topLinePunct w:val="0"/>
        <w:autoSpaceDE/>
        <w:autoSpaceDN/>
        <w:bidi w:val="0"/>
        <w:adjustRightInd/>
        <w:snapToGrid w:val="0"/>
        <w:spacing w:line="240" w:lineRule="auto"/>
        <w:ind w:left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3.每次付款前供应商按照支付额度开具增值税发票。</w:t>
      </w:r>
    </w:p>
    <w:p w14:paraId="184A4D63">
      <w:pPr>
        <w:pStyle w:val="6"/>
        <w:keepNext w:val="0"/>
        <w:keepLines w:val="0"/>
        <w:pageBreakBefore w:val="0"/>
        <w:widowControl/>
        <w:numPr>
          <w:ilvl w:val="0"/>
          <w:numId w:val="0"/>
        </w:numPr>
        <w:kinsoku/>
        <w:wordWrap/>
        <w:overflowPunct/>
        <w:topLinePunct w:val="0"/>
        <w:autoSpaceDE/>
        <w:autoSpaceDN/>
        <w:bidi w:val="0"/>
        <w:adjustRightInd/>
        <w:snapToGrid w:val="0"/>
        <w:spacing w:line="240" w:lineRule="auto"/>
        <w:ind w:left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支付方式：甲方应以电子转账方式向乙方提供的以下账户支付合同款。</w:t>
      </w:r>
    </w:p>
    <w:p w14:paraId="5990C3EA">
      <w:pPr>
        <w:pStyle w:val="6"/>
        <w:keepNext w:val="0"/>
        <w:keepLines w:val="0"/>
        <w:pageBreakBefore w:val="0"/>
        <w:widowControl/>
        <w:numPr>
          <w:ilvl w:val="0"/>
          <w:numId w:val="0"/>
        </w:numPr>
        <w:kinsoku/>
        <w:wordWrap/>
        <w:overflowPunct/>
        <w:topLinePunct w:val="0"/>
        <w:autoSpaceDE/>
        <w:autoSpaceDN/>
        <w:bidi w:val="0"/>
        <w:adjustRightInd/>
        <w:snapToGrid w:val="0"/>
        <w:spacing w:line="240" w:lineRule="auto"/>
        <w:ind w:leftChars="0" w:firstLine="42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单位名称:</w:t>
      </w:r>
    </w:p>
    <w:p w14:paraId="4E49AC12">
      <w:pPr>
        <w:pStyle w:val="6"/>
        <w:keepNext w:val="0"/>
        <w:keepLines w:val="0"/>
        <w:pageBreakBefore w:val="0"/>
        <w:widowControl/>
        <w:numPr>
          <w:ilvl w:val="0"/>
          <w:numId w:val="0"/>
        </w:numPr>
        <w:kinsoku/>
        <w:wordWrap/>
        <w:overflowPunct/>
        <w:topLinePunct w:val="0"/>
        <w:autoSpaceDE/>
        <w:autoSpaceDN/>
        <w:bidi w:val="0"/>
        <w:adjustRightInd/>
        <w:snapToGrid w:val="0"/>
        <w:spacing w:line="240" w:lineRule="auto"/>
        <w:ind w:leftChars="0" w:firstLine="42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开户行名称:</w:t>
      </w:r>
    </w:p>
    <w:p w14:paraId="0F7C019A">
      <w:pPr>
        <w:pStyle w:val="6"/>
        <w:keepNext w:val="0"/>
        <w:keepLines w:val="0"/>
        <w:pageBreakBefore w:val="0"/>
        <w:widowControl/>
        <w:numPr>
          <w:ilvl w:val="0"/>
          <w:numId w:val="0"/>
        </w:numPr>
        <w:kinsoku/>
        <w:wordWrap/>
        <w:overflowPunct/>
        <w:topLinePunct w:val="0"/>
        <w:autoSpaceDE/>
        <w:autoSpaceDN/>
        <w:bidi w:val="0"/>
        <w:adjustRightInd/>
        <w:snapToGrid w:val="0"/>
        <w:spacing w:line="240" w:lineRule="auto"/>
        <w:ind w:leftChars="0" w:firstLine="42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账号:</w:t>
      </w:r>
    </w:p>
    <w:p w14:paraId="3523B48A">
      <w:pPr>
        <w:pStyle w:val="3"/>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九</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双方责任</w:t>
      </w:r>
    </w:p>
    <w:p w14:paraId="7F44149A">
      <w:pPr>
        <w:pStyle w:val="6"/>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甲方：负责所有施工手续办理，提供整个工程的使用、设计要求，提供现场水、电位置，提供材料运输通道、必要的材料堆放场地及原楼的设计图纸，对装修工程所涉及的配电系统、管道系统、给排水总阀位置负责指明，确保施工场地平整。</w:t>
      </w:r>
    </w:p>
    <w:p w14:paraId="54456502">
      <w:pPr>
        <w:pStyle w:val="6"/>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乙方：所有进场材料及工程内容需经甲方同意，向甲方提供工程装饰施工进度表、材料样品以及施工工期表，如期完成合同内容并承担施工过程中的全部用人责任和安全责任等。在施工中给甲方以及其他人员造成的损失，由乙方承担全部责任。</w:t>
      </w:r>
    </w:p>
    <w:p w14:paraId="6DE652C7">
      <w:pPr>
        <w:pStyle w:val="3"/>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十</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违约责任</w:t>
      </w:r>
    </w:p>
    <w:p w14:paraId="7E6A9072">
      <w:pPr>
        <w:pStyle w:val="6"/>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w:t>
      </w:r>
      <w:r>
        <w:rPr>
          <w:rFonts w:hint="default" w:ascii="仿宋" w:hAnsi="仿宋" w:eastAsia="仿宋" w:cs="仿宋"/>
          <w:sz w:val="28"/>
          <w:szCs w:val="28"/>
          <w:highlight w:val="none"/>
          <w:lang w:val="en-US" w:eastAsia="zh-CN"/>
        </w:rPr>
        <w:t>按《中华人民共和国民法典》中的相关条款执行。</w:t>
      </w:r>
    </w:p>
    <w:p w14:paraId="7DC205E0">
      <w:pPr>
        <w:pStyle w:val="6"/>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w:t>
      </w:r>
      <w:r>
        <w:rPr>
          <w:rFonts w:hint="default" w:ascii="仿宋" w:hAnsi="仿宋" w:eastAsia="仿宋" w:cs="仿宋"/>
          <w:sz w:val="28"/>
          <w:szCs w:val="28"/>
          <w:highlight w:val="none"/>
          <w:lang w:val="en-US" w:eastAsia="zh-CN"/>
        </w:rPr>
        <w:t>不满足合同约定内容，质量不能满足技术要求的，采购人有权解除合同（合同自书面通知送达供应商之日解除），供应商赔偿采购人解除合同的全部损失（包括但不限于重新采购产生的费用及其它由此造成的采购人对第三方的违约损失），并按照合同总价的30%支付违约金。同时按《政府采购法》有关规定报监管机构进行相应的处罚。</w:t>
      </w:r>
    </w:p>
    <w:p w14:paraId="35C1F028">
      <w:pPr>
        <w:pStyle w:val="3"/>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十一、</w:t>
      </w:r>
      <w:r>
        <w:rPr>
          <w:rFonts w:hint="eastAsia" w:ascii="仿宋" w:hAnsi="仿宋" w:eastAsia="仿宋" w:cs="仿宋"/>
          <w:sz w:val="28"/>
          <w:szCs w:val="28"/>
          <w:highlight w:val="none"/>
        </w:rPr>
        <w:t>争议解决方式</w:t>
      </w:r>
    </w:p>
    <w:p w14:paraId="22FE8B19">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本合同项下发生的争议，双方应当协商或向市场主办单位、消费者协会等申请调解解决；协商或调解解决不成时，向甲方所在地人民法院起诉。</w:t>
      </w:r>
    </w:p>
    <w:p w14:paraId="28B4F4E4">
      <w:pPr>
        <w:pStyle w:val="3"/>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十二</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其它事宜</w:t>
      </w:r>
    </w:p>
    <w:p w14:paraId="380A5DC0">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经甲乙双方商定做出如下约定：</w:t>
      </w:r>
    </w:p>
    <w:p w14:paraId="63ACEE6E">
      <w:pPr>
        <w:pStyle w:val="6"/>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工程如遇特殊情况或不可抗力造成不能施工的，工期可顺延；因乙方原因逾期完工，每日应按照合同总额的千分之五向甲方支付违约金，逾期超过 15 日，甲方有权单方面解除合同，合同自甲方发出解除通知之日起解除。</w:t>
      </w:r>
    </w:p>
    <w:p w14:paraId="0666FFF8">
      <w:pPr>
        <w:pStyle w:val="6"/>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其它未尽事宜由双方协商解决。</w:t>
      </w:r>
    </w:p>
    <w:p w14:paraId="6DC61C8E">
      <w:pPr>
        <w:pStyle w:val="6"/>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合同一式玖份，</w:t>
      </w:r>
      <w:r>
        <w:rPr>
          <w:rFonts w:hint="eastAsia" w:ascii="仿宋" w:hAnsi="仿宋" w:eastAsia="仿宋" w:cs="仿宋"/>
          <w:sz w:val="28"/>
          <w:szCs w:val="28"/>
          <w:highlight w:val="none"/>
          <w:lang w:val="en-US" w:eastAsia="zh-CN"/>
        </w:rPr>
        <w:t>甲方柒份，乙方贰份</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双方签字盖章后生效，具有同等法律效力。</w:t>
      </w:r>
    </w:p>
    <w:p w14:paraId="2BCCC03C">
      <w:pPr>
        <w:pStyle w:val="6"/>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（以下无正文）</w:t>
      </w:r>
    </w:p>
    <w:p w14:paraId="3D5FE95A">
      <w:pPr>
        <w:pStyle w:val="6"/>
        <w:keepNext w:val="0"/>
        <w:keepLines w:val="0"/>
        <w:pageBreakBefore w:val="0"/>
        <w:numPr>
          <w:ilvl w:val="0"/>
          <w:numId w:val="0"/>
        </w:numPr>
        <w:kinsoku/>
        <w:wordWrap/>
        <w:overflowPunct/>
        <w:topLinePunct w:val="0"/>
        <w:autoSpaceDE/>
        <w:autoSpaceDN/>
        <w:bidi w:val="0"/>
        <w:adjustRightInd/>
        <w:snapToGrid w:val="0"/>
        <w:spacing w:line="240" w:lineRule="auto"/>
        <w:ind w:leftChars="0" w:firstLine="560" w:firstLineChars="200"/>
        <w:textAlignment w:val="auto"/>
        <w:rPr>
          <w:rFonts w:hint="eastAsia" w:ascii="仿宋" w:hAnsi="仿宋" w:eastAsia="仿宋" w:cs="仿宋"/>
          <w:sz w:val="28"/>
          <w:szCs w:val="28"/>
          <w:highlight w:val="none"/>
        </w:rPr>
      </w:pPr>
    </w:p>
    <w:p w14:paraId="260711B5">
      <w:pPr>
        <w:pStyle w:val="6"/>
        <w:keepNext w:val="0"/>
        <w:keepLines w:val="0"/>
        <w:pageBreakBefore w:val="0"/>
        <w:numPr>
          <w:ilvl w:val="0"/>
          <w:numId w:val="0"/>
        </w:numPr>
        <w:kinsoku/>
        <w:wordWrap/>
        <w:overflowPunct/>
        <w:topLinePunct w:val="0"/>
        <w:autoSpaceDE/>
        <w:autoSpaceDN/>
        <w:bidi w:val="0"/>
        <w:adjustRightInd/>
        <w:snapToGrid w:val="0"/>
        <w:spacing w:line="240" w:lineRule="auto"/>
        <w:ind w:lef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甲方：（盖公章）           </w:t>
      </w:r>
      <w:r>
        <w:rPr>
          <w:rFonts w:hint="eastAsia" w:ascii="仿宋" w:hAnsi="仿宋" w:eastAsia="仿宋" w:cs="仿宋"/>
          <w:sz w:val="28"/>
          <w:szCs w:val="28"/>
          <w:highlight w:val="none"/>
          <w:lang w:val="en-US" w:eastAsia="zh-CN"/>
        </w:rPr>
        <w:tab/>
      </w:r>
      <w:r>
        <w:rPr>
          <w:rFonts w:hint="eastAsia" w:ascii="仿宋" w:hAnsi="仿宋" w:eastAsia="仿宋" w:cs="仿宋"/>
          <w:sz w:val="28"/>
          <w:szCs w:val="28"/>
          <w:highlight w:val="none"/>
          <w:lang w:val="en-US" w:eastAsia="zh-CN"/>
        </w:rPr>
        <w:tab/>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乙方：（盖公章）</w:t>
      </w:r>
    </w:p>
    <w:p w14:paraId="0B83DFF3">
      <w:pPr>
        <w:pStyle w:val="6"/>
        <w:keepNext w:val="0"/>
        <w:keepLines w:val="0"/>
        <w:pageBreakBefore w:val="0"/>
        <w:numPr>
          <w:ilvl w:val="0"/>
          <w:numId w:val="0"/>
        </w:numPr>
        <w:kinsoku/>
        <w:wordWrap/>
        <w:overflowPunct/>
        <w:topLinePunct w:val="0"/>
        <w:autoSpaceDE/>
        <w:autoSpaceDN/>
        <w:bidi w:val="0"/>
        <w:adjustRightInd/>
        <w:snapToGrid w:val="0"/>
        <w:spacing w:line="240" w:lineRule="auto"/>
        <w:ind w:lef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法定代表人（授权人）:      </w:t>
      </w:r>
      <w:r>
        <w:rPr>
          <w:rFonts w:hint="eastAsia" w:ascii="仿宋" w:hAnsi="仿宋" w:eastAsia="仿宋" w:cs="仿宋"/>
          <w:sz w:val="28"/>
          <w:szCs w:val="28"/>
          <w:highlight w:val="none"/>
          <w:lang w:val="en-US" w:eastAsia="zh-CN"/>
        </w:rPr>
        <w:tab/>
      </w:r>
      <w:r>
        <w:rPr>
          <w:rFonts w:hint="eastAsia" w:ascii="仿宋" w:hAnsi="仿宋" w:eastAsia="仿宋" w:cs="仿宋"/>
          <w:sz w:val="28"/>
          <w:szCs w:val="28"/>
          <w:highlight w:val="none"/>
          <w:lang w:val="en-US" w:eastAsia="zh-CN"/>
        </w:rPr>
        <w:tab/>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法定代表人（授权人）:</w:t>
      </w:r>
    </w:p>
    <w:p w14:paraId="789DA54B">
      <w:pPr>
        <w:pStyle w:val="6"/>
        <w:keepNext w:val="0"/>
        <w:keepLines w:val="0"/>
        <w:pageBreakBefore w:val="0"/>
        <w:numPr>
          <w:ilvl w:val="0"/>
          <w:numId w:val="0"/>
        </w:numPr>
        <w:kinsoku/>
        <w:wordWrap/>
        <w:overflowPunct/>
        <w:topLinePunct w:val="0"/>
        <w:autoSpaceDE/>
        <w:autoSpaceDN/>
        <w:bidi w:val="0"/>
        <w:adjustRightInd/>
        <w:snapToGrid w:val="0"/>
        <w:spacing w:line="240" w:lineRule="auto"/>
        <w:ind w:leftChars="0"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 xml:space="preserve">年    月    日             </w:t>
      </w:r>
      <w:r>
        <w:rPr>
          <w:rFonts w:hint="eastAsia" w:ascii="仿宋" w:hAnsi="仿宋" w:eastAsia="仿宋" w:cs="仿宋"/>
          <w:sz w:val="28"/>
          <w:szCs w:val="28"/>
          <w:highlight w:val="none"/>
          <w:lang w:val="en-US" w:eastAsia="zh-CN"/>
        </w:rPr>
        <w:tab/>
      </w:r>
      <w:r>
        <w:rPr>
          <w:rFonts w:hint="eastAsia" w:ascii="仿宋" w:hAnsi="仿宋" w:eastAsia="仿宋" w:cs="仿宋"/>
          <w:sz w:val="28"/>
          <w:szCs w:val="28"/>
          <w:highlight w:val="none"/>
          <w:lang w:val="en-US" w:eastAsia="zh-CN"/>
        </w:rPr>
        <w:tab/>
      </w:r>
      <w:r>
        <w:rPr>
          <w:rFonts w:hint="eastAsia" w:ascii="仿宋" w:hAnsi="仿宋" w:eastAsia="仿宋" w:cs="仿宋"/>
          <w:sz w:val="28"/>
          <w:szCs w:val="28"/>
          <w:highlight w:val="none"/>
          <w:lang w:val="en-US" w:eastAsia="zh-CN"/>
        </w:rPr>
        <w:tab/>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年    月    日</w:t>
      </w:r>
    </w:p>
    <w:p w14:paraId="51918A48">
      <w:pPr>
        <w:pStyle w:val="7"/>
        <w:rPr>
          <w:rFonts w:hint="eastAsia"/>
          <w:highlight w:val="none"/>
          <w:lang w:val="en-US" w:eastAsia="zh-Hans"/>
        </w:rPr>
      </w:pPr>
    </w:p>
    <w:p w14:paraId="2BFF794C">
      <w:pPr>
        <w:rPr>
          <w:highlight w:val="none"/>
        </w:rPr>
      </w:pPr>
    </w:p>
    <w:bookmarkEnd w:id="0"/>
    <w:sectPr>
      <w:pgSz w:w="11906" w:h="16838"/>
      <w:pgMar w:top="1440" w:right="1800" w:bottom="13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2371B5"/>
    <w:rsid w:val="2B237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paragraph" w:styleId="3">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_Style 13"/>
    <w:qFormat/>
    <w:uiPriority w:val="0"/>
    <w:pPr>
      <w:spacing w:before="120" w:after="120" w:line="288" w:lineRule="auto"/>
      <w:ind w:left="0"/>
      <w:jc w:val="left"/>
    </w:pPr>
    <w:rPr>
      <w:rFonts w:ascii="Arial" w:hAnsi="Arial" w:eastAsia="等线" w:cs="Arial"/>
      <w:sz w:val="22"/>
      <w:szCs w:val="22"/>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2026-04-27T03:42:00Z</dcterms:created>
  <dc:creator>晚风。</dc:creator>
  <cp:lastModifiedBy>晚风。</cp:lastModifiedBy>
  <dcterms:modified xsi:type="dcterms:W3CDTF">2026-04-27T03:42:45Z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A475DFCC30924B029FEB7881E6222E82_11</vt:lpwstr>
  </property>
  <property fmtid="{D5CDD505-2E9C-101B-9397-08002B2CF9AE}" pid="4" name="KSOTemplateDocerSaveRecord">
    <vt:lpwstr>eyJoZGlkIjoiZGE5OWRjODc1MTU2MGZhZDBjNzNhN2EyMWExMWFlNmQiLCJ1c2VySWQiOiIzMzczMjk0NjQifQ==</vt:lpwstr>
  </property>
</Properties>
</file>