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FDBF3">
      <w:pPr>
        <w:spacing w:line="360" w:lineRule="auto"/>
        <w:ind w:firstLine="482" w:firstLineChars="200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技术方案</w:t>
      </w:r>
    </w:p>
    <w:p w14:paraId="0F656A07">
      <w:r>
        <w:rPr>
          <w:rFonts w:hint="eastAsia" w:ascii="仿宋" w:hAnsi="仿宋" w:eastAsia="仿宋" w:cs="仿宋"/>
          <w:szCs w:val="21"/>
        </w:rPr>
        <w:t>供应商可结合本项目需求，按照评分标准的要求编制，格式自拟</w:t>
      </w:r>
      <w:r>
        <w:rPr>
          <w:rFonts w:hint="eastAsia" w:ascii="仿宋" w:hAnsi="仿宋" w:eastAsia="仿宋" w:cs="仿宋"/>
          <w:szCs w:val="21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C48F2"/>
    <w:rsid w:val="3E3C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2026-04-27T03:42:00Z</dcterms:created>
  <dc:creator>晚风。</dc:creator>
  <cp:lastModifiedBy>晚风。</cp:lastModifiedBy>
  <dcterms:modified xsi:type="dcterms:W3CDTF">2026-04-27T03:42:12Z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B9F82F6CD2544D04BF38E5F4D9978C0B_11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