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版本号：TZZB-2026092C20260427001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编制西安市会展产业指导目录项目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TZZB-2026092C</w:t>
      </w:r>
      <w:r>
        <w:br/>
      </w:r>
      <w:r>
        <w:br/>
      </w:r>
      <w:r>
        <w:br/>
      </w:r>
    </w:p>
    <w:p>
      <w:pPr>
        <w:pStyle w:val="null3"/>
        <w:jc w:val="center"/>
        <w:outlineLvl w:val="2"/>
      </w:pPr>
      <w:r>
        <w:rPr>
          <w:rFonts w:ascii="仿宋_GB2312" w:hAnsi="仿宋_GB2312" w:cs="仿宋_GB2312" w:eastAsia="仿宋_GB2312"/>
          <w:sz w:val="28"/>
          <w:b/>
        </w:rPr>
        <w:t>西安市商务局（本级）</w:t>
      </w:r>
    </w:p>
    <w:p>
      <w:pPr>
        <w:pStyle w:val="null3"/>
        <w:jc w:val="center"/>
        <w:outlineLvl w:val="2"/>
      </w:pPr>
      <w:r>
        <w:rPr>
          <w:rFonts w:ascii="仿宋_GB2312" w:hAnsi="仿宋_GB2312" w:cs="仿宋_GB2312" w:eastAsia="仿宋_GB2312"/>
          <w:sz w:val="28"/>
          <w:b/>
        </w:rPr>
        <w:t>同正项目管理有限公司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同正项目管理有限公司</w:t>
      </w:r>
      <w:r>
        <w:rPr>
          <w:rFonts w:ascii="仿宋_GB2312" w:hAnsi="仿宋_GB2312" w:cs="仿宋_GB2312" w:eastAsia="仿宋_GB2312"/>
        </w:rPr>
        <w:t>（以下简称“代理机构”）受</w:t>
      </w:r>
      <w:r>
        <w:rPr>
          <w:rFonts w:ascii="仿宋_GB2312" w:hAnsi="仿宋_GB2312" w:cs="仿宋_GB2312" w:eastAsia="仿宋_GB2312"/>
        </w:rPr>
        <w:t>西安市商务局（本级）</w:t>
      </w:r>
      <w:r>
        <w:rPr>
          <w:rFonts w:ascii="仿宋_GB2312" w:hAnsi="仿宋_GB2312" w:cs="仿宋_GB2312" w:eastAsia="仿宋_GB2312"/>
        </w:rPr>
        <w:t>委托，拟对</w:t>
      </w:r>
      <w:r>
        <w:rPr>
          <w:rFonts w:ascii="仿宋_GB2312" w:hAnsi="仿宋_GB2312" w:cs="仿宋_GB2312" w:eastAsia="仿宋_GB2312"/>
        </w:rPr>
        <w:t>编制西安市会展产业指导目录项目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TZZB-2026092C</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编制西安市会展产业指导目录项目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通过开展《西安市会展产业指导目录》编制工作，进一步提高西安市会展产业规划的科学性、前瞻性和可操作性，全面梳理我市会展产业发展现状、对比国内外重点会展城市发展趋势，明确 “十五五” 期间会展产业发展重点、招展引会方向及本土展会培育路径，提出展产融合、展城融合、展销融合及强链、补链、延链具体举措，为政府行业主管部门提供决策依据，助力西安建设“一带一路”国际会展名城。</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采购包1（编制西安市会展产业指导目录项目）：属于专门面向中小企业采购。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1、营业执照：具有独立承担民事责任能力的法人、其他组织或自然人，营业执照、组织机构代码证、税务登记证（三证合一只提供营业执照，事业单位提供事业单位法人证书，自然人应提供身份证）合法有效</w:t>
      </w:r>
    </w:p>
    <w:p>
      <w:pPr>
        <w:pStyle w:val="null3"/>
      </w:pPr>
      <w:r>
        <w:rPr>
          <w:rFonts w:ascii="仿宋_GB2312" w:hAnsi="仿宋_GB2312" w:cs="仿宋_GB2312" w:eastAsia="仿宋_GB2312"/>
        </w:rPr>
        <w:t>2、供应商身份授权：供应商应授权合法的人员参加磋商，其中法定代表人直接参加的须出具法人身份证，须与营业执照上信息一致，授权代表参加的须出具法定代表人授权书及被授权人身份证及本单位参保证明（提交响应文件截止时间前六个月内任意一个月的社会保险缴纳证明）</w:t>
      </w:r>
    </w:p>
    <w:p>
      <w:pPr>
        <w:pStyle w:val="null3"/>
      </w:pPr>
      <w:r>
        <w:rPr>
          <w:rFonts w:ascii="仿宋_GB2312" w:hAnsi="仿宋_GB2312" w:cs="仿宋_GB2312" w:eastAsia="仿宋_GB2312"/>
        </w:rPr>
        <w:t>3、税收缴纳证明：提供2025年10月至今已缴纳的至少一个月的纳税证明或完税证明（任意税种），依法免税的单位应提供相关证明材料</w:t>
      </w:r>
    </w:p>
    <w:p>
      <w:pPr>
        <w:pStyle w:val="null3"/>
      </w:pPr>
      <w:r>
        <w:rPr>
          <w:rFonts w:ascii="仿宋_GB2312" w:hAnsi="仿宋_GB2312" w:cs="仿宋_GB2312" w:eastAsia="仿宋_GB2312"/>
        </w:rPr>
        <w:t>4、社会保障资金缴纳证明：提供2025年10月至今已缴存的至少一个月的社会保障资金缴存单据或社保机构开具的社会保险参保缴费情况证明，依法不需要缴纳社会保障资金的单位应提供相关证明材料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财务状况：提供2024年度或2025年度经会计事务所或审计机构出具完整的财务审计报告(包括审计报告、资产负债表、利润表、现金流量表、所有者权益变动表及其附注），成立时间至提交响应文件截止时间不足一年的可提供成立后任意时段的资产负债表，或其开标前六个月内基本开户银行出具的资信证明。（以上两种形式的资料提供任何一种即可）</w:t>
      </w:r>
    </w:p>
    <w:p>
      <w:pPr>
        <w:pStyle w:val="null3"/>
      </w:pPr>
      <w:r>
        <w:rPr>
          <w:rFonts w:ascii="仿宋_GB2312" w:hAnsi="仿宋_GB2312" w:cs="仿宋_GB2312" w:eastAsia="仿宋_GB2312"/>
        </w:rPr>
        <w:t>6、经营活动：参加政府采购活动前三年内，在经营活动中没有重大违法记录的书面声明</w:t>
      </w:r>
    </w:p>
    <w:p>
      <w:pPr>
        <w:pStyle w:val="null3"/>
      </w:pPr>
      <w:r>
        <w:rPr>
          <w:rFonts w:ascii="仿宋_GB2312" w:hAnsi="仿宋_GB2312" w:cs="仿宋_GB2312" w:eastAsia="仿宋_GB2312"/>
        </w:rPr>
        <w:t>7、控股、管理关系：供应商单位负责人为同一人或者存在控股、管理关系的不同单位不得同时进行投标</w:t>
      </w:r>
    </w:p>
    <w:p>
      <w:pPr>
        <w:pStyle w:val="null3"/>
      </w:pPr>
      <w:r>
        <w:rPr>
          <w:rFonts w:ascii="仿宋_GB2312" w:hAnsi="仿宋_GB2312" w:cs="仿宋_GB2312" w:eastAsia="仿宋_GB2312"/>
        </w:rPr>
        <w:t>8、“信用中国”网站和“中国政府采购网”查询截图：供应商不得为“信用中国”网站（www.creditchina.gov.cn）（中国执行信息公开网）和中国政府采购网（www.ccgp.gov.cn）中被列入失信被执行人、重大税收违法失信主体、政府采购严重违法失信行为记录名单的单位</w:t>
      </w:r>
    </w:p>
    <w:p>
      <w:pPr>
        <w:pStyle w:val="null3"/>
      </w:pPr>
      <w:r>
        <w:rPr>
          <w:rFonts w:ascii="仿宋_GB2312" w:hAnsi="仿宋_GB2312" w:cs="仿宋_GB2312" w:eastAsia="仿宋_GB2312"/>
        </w:rPr>
        <w:t>9、具有履行合同所必需的设备和专业技术能力：具有履行合同所必需的设备和专业技术能力的承诺函</w:t>
      </w:r>
    </w:p>
    <w:p>
      <w:pPr>
        <w:pStyle w:val="null3"/>
      </w:pPr>
      <w:r>
        <w:rPr>
          <w:rFonts w:ascii="仿宋_GB2312" w:hAnsi="仿宋_GB2312" w:cs="仿宋_GB2312" w:eastAsia="仿宋_GB2312"/>
        </w:rPr>
        <w:t>10、中小企业声明函：项目为专门面向中小企业项目，供应商须为中型企业或者小型、微型企业或监狱企业或残疾人福利性单位</w:t>
      </w:r>
    </w:p>
    <w:p>
      <w:pPr>
        <w:pStyle w:val="null3"/>
      </w:pPr>
      <w:r>
        <w:rPr>
          <w:rFonts w:ascii="仿宋_GB2312" w:hAnsi="仿宋_GB2312" w:cs="仿宋_GB2312" w:eastAsia="仿宋_GB2312"/>
        </w:rPr>
        <w:t>11、不接受联合体：本项目不接受联合体磋商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西安市商务局（本级）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西安市未央区凤城八路109号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铁红兵</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029-67096473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同正项目管理有限公司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陕西省西安市经济技术开发区凤城八路180号长和国际F座22层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倪莹、王燕、赵淑涵</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029-86522030转612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和发展改革委员会办公厅颁发的《关于招标代理服务收费有关问题的通知》（发改办价格[2003]857号）的有关规定执行，代理服务费不足3300元按3300元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西安市商务局（本级）</w:t>
      </w:r>
      <w:r>
        <w:rPr>
          <w:rFonts w:ascii="仿宋_GB2312" w:hAnsi="仿宋_GB2312" w:cs="仿宋_GB2312" w:eastAsia="仿宋_GB2312"/>
        </w:rPr>
        <w:t>和</w:t>
      </w:r>
      <w:r>
        <w:rPr>
          <w:rFonts w:ascii="仿宋_GB2312" w:hAnsi="仿宋_GB2312" w:cs="仿宋_GB2312" w:eastAsia="仿宋_GB2312"/>
        </w:rPr>
        <w:t>同正项目管理有限公司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西安市商务局（本级）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同正项目管理有限公司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西安市商务局（本级）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同正项目管理有限公司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西安市会展业促进条例》、省市会展业发展政策及本项目工作方案要求，参考其他城市会展业指导目录、图谱、清单、指引的编制情况，在规定时间内完成调研、框架搭建、撰写、论证、修改、定稿等各个环节的工作。指导目录做到结构完整、内容详实、科学前瞻、贴合西安实际，体现会展产业发展方向、重点任务与实施路径，并按照甲方要求做好验收相关工作。</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联系人：倪莹、王燕、赵淑涵</w:t>
      </w:r>
    </w:p>
    <w:p>
      <w:pPr>
        <w:pStyle w:val="null3"/>
      </w:pPr>
      <w:r>
        <w:rPr>
          <w:rFonts w:ascii="仿宋_GB2312" w:hAnsi="仿宋_GB2312" w:cs="仿宋_GB2312" w:eastAsia="仿宋_GB2312"/>
        </w:rPr>
        <w:t>联系电话：029-86522030转612</w:t>
      </w:r>
    </w:p>
    <w:p>
      <w:pPr>
        <w:pStyle w:val="null3"/>
      </w:pPr>
      <w:r>
        <w:rPr>
          <w:rFonts w:ascii="仿宋_GB2312" w:hAnsi="仿宋_GB2312" w:cs="仿宋_GB2312" w:eastAsia="仿宋_GB2312"/>
        </w:rPr>
        <w:t>地址：陕西省西安市经济技术开发区凤城八路长和国际F座22层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通过开展《西安市会展产业指导目录》编制工作，进一步提高西安市会展产业规划的科学性、前瞻性和可操作性，全面梳理我市会展产业发展现状、对比国内外重点会展城市发展趋势，明确 “十五五” 期间会展产业发展重点、招展引会方向及本土展会培育路径，提出展产融合、展城融合、展销融合及强链、补链、延链具体举措，为政府行业主管部门提供决策依据，助力西安建设“一带一路”国际会展名城。</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w:t>
      </w:r>
    </w:p>
    <w:p>
      <w:pPr>
        <w:pStyle w:val="null3"/>
      </w:pPr>
      <w:r>
        <w:rPr>
          <w:rFonts w:ascii="仿宋_GB2312" w:hAnsi="仿宋_GB2312" w:cs="仿宋_GB2312" w:eastAsia="仿宋_GB2312"/>
        </w:rPr>
        <w:t>采购包最高限价（元）: 150,000.00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编制西安市会展产业指导目录项目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标的名称：编制西安市会展产业指导目录项目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color w:val="000000"/>
              </w:rPr>
              <w:t xml:space="preserve">   一、项目概况</w:t>
            </w:r>
          </w:p>
          <w:p>
            <w:pPr>
              <w:pStyle w:val="null3"/>
              <w:ind w:firstLine="400"/>
              <w:jc w:val="both"/>
            </w:pPr>
            <w:r>
              <w:rPr>
                <w:rFonts w:ascii="仿宋_GB2312" w:hAnsi="仿宋_GB2312" w:cs="仿宋_GB2312" w:eastAsia="仿宋_GB2312"/>
                <w:sz w:val="20"/>
                <w:color w:val="000000"/>
              </w:rPr>
              <w:t>通过开展《西安市会展产业指导目录》编制工作，进一步提高西安市会展产业规划的科学性、前瞻性和可操作性，全面梳理我市会展产业发展现状、对比国内外重点会展城市发展趋势，明确 “十五五” 期间会展产业发展重点、招展引会方向及本土展会培育路径，提出展产融合、展城融合、展销融合及强链、补链、延链具体举措，为政府行业主管部门提供决策依据，助力西安建设“一带一路”国际会展名城。</w:t>
            </w:r>
          </w:p>
          <w:p>
            <w:pPr>
              <w:pStyle w:val="null3"/>
              <w:ind w:firstLine="400"/>
            </w:pPr>
            <w:r>
              <w:rPr>
                <w:rFonts w:ascii="仿宋_GB2312" w:hAnsi="仿宋_GB2312" w:cs="仿宋_GB2312" w:eastAsia="仿宋_GB2312"/>
                <w:sz w:val="20"/>
                <w:color w:val="000000"/>
              </w:rPr>
              <w:t>二、服务内容</w:t>
            </w:r>
          </w:p>
          <w:p>
            <w:pPr>
              <w:pStyle w:val="null3"/>
              <w:ind w:firstLine="400"/>
            </w:pPr>
            <w:r>
              <w:rPr>
                <w:rFonts w:ascii="仿宋_GB2312" w:hAnsi="仿宋_GB2312" w:cs="仿宋_GB2312" w:eastAsia="仿宋_GB2312"/>
                <w:sz w:val="20"/>
                <w:color w:val="000000"/>
              </w:rPr>
              <w:t>（一）会展产业基础调研与分析</w:t>
            </w:r>
          </w:p>
          <w:p>
            <w:pPr>
              <w:pStyle w:val="null3"/>
              <w:ind w:firstLine="400"/>
            </w:pPr>
            <w:r>
              <w:rPr>
                <w:rFonts w:ascii="仿宋_GB2312" w:hAnsi="仿宋_GB2312" w:cs="仿宋_GB2312" w:eastAsia="仿宋_GB2312"/>
                <w:sz w:val="20"/>
                <w:color w:val="000000"/>
              </w:rPr>
              <w:t>开展会展产业调研分析以现状梳理、趋势研判为主，兼顾部门对接、城市对标、市场主体访谈。调研对象包括市级相关部门、重点会展城市主管部门、会展场馆、会展主办机构、会展服务企业、行业协会等。</w:t>
            </w:r>
          </w:p>
          <w:p>
            <w:pPr>
              <w:pStyle w:val="null3"/>
              <w:ind w:firstLine="400"/>
            </w:pPr>
            <w:r>
              <w:rPr>
                <w:rFonts w:ascii="仿宋_GB2312" w:hAnsi="仿宋_GB2312" w:cs="仿宋_GB2312" w:eastAsia="仿宋_GB2312"/>
                <w:sz w:val="20"/>
                <w:color w:val="000000"/>
              </w:rPr>
              <w:t>1.</w:t>
            </w:r>
            <w:r>
              <w:rPr>
                <w:rFonts w:ascii="仿宋_GB2312" w:hAnsi="仿宋_GB2312" w:cs="仿宋_GB2312" w:eastAsia="仿宋_GB2312"/>
                <w:sz w:val="20"/>
                <w:color w:val="000000"/>
              </w:rPr>
              <w:t>产业现状调研指标包括西安会展场馆资源、会展企业梯队、重点展会品牌、配套服务能力、产业链布局、发展短板、融合潜力等。</w:t>
            </w:r>
          </w:p>
          <w:p>
            <w:pPr>
              <w:pStyle w:val="null3"/>
              <w:ind w:firstLine="400"/>
            </w:pPr>
            <w:r>
              <w:rPr>
                <w:rFonts w:ascii="仿宋_GB2312" w:hAnsi="仿宋_GB2312" w:cs="仿宋_GB2312" w:eastAsia="仿宋_GB2312"/>
                <w:sz w:val="20"/>
                <w:color w:val="000000"/>
              </w:rPr>
              <w:t>2.</w:t>
            </w:r>
            <w:r>
              <w:rPr>
                <w:rFonts w:ascii="仿宋_GB2312" w:hAnsi="仿宋_GB2312" w:cs="仿宋_GB2312" w:eastAsia="仿宋_GB2312"/>
                <w:sz w:val="20"/>
                <w:color w:val="000000"/>
              </w:rPr>
              <w:t>重点城市调研指标包括成都、南京、武汉、昆明等城市指导目录编制模式、框架结构、核心内容、实施成效等。</w:t>
            </w:r>
          </w:p>
          <w:p>
            <w:pPr>
              <w:pStyle w:val="null3"/>
              <w:ind w:firstLine="400"/>
            </w:pPr>
            <w:r>
              <w:rPr>
                <w:rFonts w:ascii="仿宋_GB2312" w:hAnsi="仿宋_GB2312" w:cs="仿宋_GB2312" w:eastAsia="仿宋_GB2312"/>
                <w:sz w:val="20"/>
                <w:color w:val="000000"/>
              </w:rPr>
              <w:t>3.</w:t>
            </w:r>
            <w:r>
              <w:rPr>
                <w:rFonts w:ascii="仿宋_GB2312" w:hAnsi="仿宋_GB2312" w:cs="仿宋_GB2312" w:eastAsia="仿宋_GB2312"/>
                <w:sz w:val="20"/>
                <w:color w:val="000000"/>
              </w:rPr>
              <w:t>产业融合调研指标包括西安先进制造、电子信息、生物医药、航空航天、文旅融合、现代农业、数字经济等重点产业链发展规划、政策导向、会展融合需求等。</w:t>
            </w:r>
          </w:p>
          <w:p>
            <w:pPr>
              <w:pStyle w:val="null3"/>
              <w:ind w:firstLine="400"/>
            </w:pPr>
            <w:r>
              <w:rPr>
                <w:rFonts w:ascii="仿宋_GB2312" w:hAnsi="仿宋_GB2312" w:cs="仿宋_GB2312" w:eastAsia="仿宋_GB2312"/>
                <w:sz w:val="20"/>
                <w:color w:val="000000"/>
              </w:rPr>
              <w:t>（二）会展产业延伸研究与编制</w:t>
            </w:r>
          </w:p>
          <w:p>
            <w:pPr>
              <w:pStyle w:val="null3"/>
              <w:ind w:firstLine="400"/>
            </w:pPr>
            <w:r>
              <w:rPr>
                <w:rFonts w:ascii="仿宋_GB2312" w:hAnsi="仿宋_GB2312" w:cs="仿宋_GB2312" w:eastAsia="仿宋_GB2312"/>
                <w:sz w:val="20"/>
                <w:color w:val="000000"/>
              </w:rPr>
              <w:t>1.</w:t>
            </w:r>
            <w:r>
              <w:rPr>
                <w:rFonts w:ascii="仿宋_GB2312" w:hAnsi="仿宋_GB2312" w:cs="仿宋_GB2312" w:eastAsia="仿宋_GB2312"/>
                <w:sz w:val="20"/>
                <w:color w:val="000000"/>
              </w:rPr>
              <w:t>完善指导目录框架体系：结合 “十五五” 规划、城市定位与产业实际，搭建目录完整框架，明确章节逻辑、核心内容与撰写规范。</w:t>
            </w:r>
          </w:p>
          <w:p>
            <w:pPr>
              <w:pStyle w:val="null3"/>
              <w:ind w:firstLine="400"/>
            </w:pPr>
            <w:r>
              <w:rPr>
                <w:rFonts w:ascii="仿宋_GB2312" w:hAnsi="仿宋_GB2312" w:cs="仿宋_GB2312" w:eastAsia="仿宋_GB2312"/>
                <w:sz w:val="20"/>
                <w:color w:val="000000"/>
              </w:rPr>
              <w:t>2.</w:t>
            </w:r>
            <w:r>
              <w:rPr>
                <w:rFonts w:ascii="仿宋_GB2312" w:hAnsi="仿宋_GB2312" w:cs="仿宋_GB2312" w:eastAsia="仿宋_GB2312"/>
                <w:sz w:val="20"/>
                <w:color w:val="000000"/>
              </w:rPr>
              <w:t>科学制定发展指引：围绕重点产业配套、文旅融合、现代服务业、现代农业四大领域，确定会展发展方向与重点任务。</w:t>
            </w:r>
          </w:p>
          <w:p>
            <w:pPr>
              <w:pStyle w:val="null3"/>
              <w:ind w:firstLine="400"/>
            </w:pPr>
            <w:r>
              <w:rPr>
                <w:rFonts w:ascii="仿宋_GB2312" w:hAnsi="仿宋_GB2312" w:cs="仿宋_GB2312" w:eastAsia="仿宋_GB2312"/>
                <w:sz w:val="20"/>
                <w:color w:val="000000"/>
              </w:rPr>
              <w:t>3.</w:t>
            </w:r>
            <w:r>
              <w:rPr>
                <w:rFonts w:ascii="仿宋_GB2312" w:hAnsi="仿宋_GB2312" w:cs="仿宋_GB2312" w:eastAsia="仿宋_GB2312"/>
                <w:sz w:val="20"/>
                <w:color w:val="000000"/>
              </w:rPr>
              <w:t>明确招展引会优先级：制定国际品牌会展、全国性专业会展、区域特色会展分类招引目标与实施路径。</w:t>
            </w:r>
          </w:p>
          <w:p>
            <w:pPr>
              <w:pStyle w:val="null3"/>
              <w:ind w:firstLine="400"/>
            </w:pPr>
            <w:r>
              <w:rPr>
                <w:rFonts w:ascii="仿宋_GB2312" w:hAnsi="仿宋_GB2312" w:cs="仿宋_GB2312" w:eastAsia="仿宋_GB2312"/>
                <w:sz w:val="20"/>
                <w:color w:val="000000"/>
              </w:rPr>
              <w:t>4.</w:t>
            </w:r>
            <w:r>
              <w:rPr>
                <w:rFonts w:ascii="仿宋_GB2312" w:hAnsi="仿宋_GB2312" w:cs="仿宋_GB2312" w:eastAsia="仿宋_GB2312"/>
                <w:sz w:val="20"/>
                <w:color w:val="000000"/>
              </w:rPr>
              <w:t>构建本土展会培育体系：对现有展会划分重点培育、升级提升、整合优化三个梯队，明确培育措施与升级路径。</w:t>
            </w:r>
          </w:p>
          <w:p>
            <w:pPr>
              <w:pStyle w:val="null3"/>
              <w:ind w:firstLine="400"/>
            </w:pPr>
            <w:r>
              <w:rPr>
                <w:rFonts w:ascii="仿宋_GB2312" w:hAnsi="仿宋_GB2312" w:cs="仿宋_GB2312" w:eastAsia="仿宋_GB2312"/>
                <w:sz w:val="20"/>
                <w:color w:val="000000"/>
              </w:rPr>
              <w:t>5.</w:t>
            </w:r>
            <w:r>
              <w:rPr>
                <w:rFonts w:ascii="仿宋_GB2312" w:hAnsi="仿宋_GB2312" w:cs="仿宋_GB2312" w:eastAsia="仿宋_GB2312"/>
                <w:sz w:val="20"/>
                <w:color w:val="000000"/>
              </w:rPr>
              <w:t>制定强链建圈实施方案：提出会展产业强链、补链、延链具体举措，构建完善会展产业生态，提升经济溢出效应。</w:t>
            </w:r>
          </w:p>
          <w:p>
            <w:pPr>
              <w:pStyle w:val="null3"/>
              <w:ind w:firstLine="400"/>
            </w:pPr>
            <w:r>
              <w:rPr>
                <w:rFonts w:ascii="仿宋_GB2312" w:hAnsi="仿宋_GB2312" w:cs="仿宋_GB2312" w:eastAsia="仿宋_GB2312"/>
                <w:sz w:val="20"/>
                <w:color w:val="000000"/>
              </w:rPr>
              <w:t>三、技术要求</w:t>
            </w:r>
          </w:p>
          <w:p>
            <w:pPr>
              <w:pStyle w:val="null3"/>
              <w:ind w:firstLine="400"/>
              <w:jc w:val="both"/>
            </w:pPr>
            <w:r>
              <w:rPr>
                <w:rFonts w:ascii="仿宋_GB2312" w:hAnsi="仿宋_GB2312" w:cs="仿宋_GB2312" w:eastAsia="仿宋_GB2312"/>
                <w:sz w:val="20"/>
                <w:color w:val="000000"/>
              </w:rPr>
              <w:t>采用行业研究、实地调研、行业访谈、专家论证、对比分析等专业研究方法，保障目录编制科学性与严谨性；成果文档格式规范、逻辑清晰，符合公文发布与归档要求。</w:t>
            </w:r>
          </w:p>
          <w:p>
            <w:pPr>
              <w:pStyle w:val="null3"/>
              <w:ind w:firstLine="400"/>
            </w:pPr>
            <w:r>
              <w:rPr>
                <w:rFonts w:ascii="仿宋_GB2312" w:hAnsi="仿宋_GB2312" w:cs="仿宋_GB2312" w:eastAsia="仿宋_GB2312"/>
                <w:sz w:val="20"/>
                <w:color w:val="000000"/>
              </w:rPr>
              <w:t>四、服务要求</w:t>
            </w:r>
          </w:p>
          <w:p>
            <w:pPr>
              <w:pStyle w:val="null3"/>
              <w:ind w:firstLine="400"/>
            </w:pPr>
            <w:r>
              <w:rPr>
                <w:rFonts w:ascii="仿宋_GB2312" w:hAnsi="仿宋_GB2312" w:cs="仿宋_GB2312" w:eastAsia="仿宋_GB2312"/>
                <w:sz w:val="20"/>
                <w:color w:val="000000"/>
              </w:rPr>
              <w:t>（一）服务标准</w:t>
            </w:r>
          </w:p>
          <w:p>
            <w:pPr>
              <w:pStyle w:val="null3"/>
              <w:ind w:firstLine="400"/>
            </w:pPr>
            <w:r>
              <w:rPr>
                <w:rFonts w:ascii="仿宋_GB2312" w:hAnsi="仿宋_GB2312" w:cs="仿宋_GB2312" w:eastAsia="仿宋_GB2312"/>
                <w:sz w:val="20"/>
                <w:color w:val="000000"/>
              </w:rPr>
              <w:t>按照《西安市会展业促进条例》等要求，开展目录编制服务，完成调研梳理、框架搭建、内容撰写、专家论证、意见征求、修改完善、定稿交付全流程工作，确保成果合法合规、贴合实际、科学可行。</w:t>
            </w:r>
          </w:p>
          <w:p>
            <w:pPr>
              <w:pStyle w:val="null3"/>
              <w:ind w:firstLine="400"/>
            </w:pPr>
            <w:r>
              <w:rPr>
                <w:rFonts w:ascii="仿宋_GB2312" w:hAnsi="仿宋_GB2312" w:cs="仿宋_GB2312" w:eastAsia="仿宋_GB2312"/>
                <w:sz w:val="20"/>
                <w:color w:val="000000"/>
              </w:rPr>
              <w:t>（二）人员配置</w:t>
            </w:r>
          </w:p>
          <w:p>
            <w:pPr>
              <w:pStyle w:val="null3"/>
              <w:ind w:firstLine="400"/>
            </w:pPr>
            <w:r>
              <w:rPr>
                <w:rFonts w:ascii="仿宋_GB2312" w:hAnsi="仿宋_GB2312" w:cs="仿宋_GB2312" w:eastAsia="仿宋_GB2312"/>
                <w:sz w:val="20"/>
                <w:color w:val="000000"/>
              </w:rPr>
              <w:t>成立项目工作小组，配备工作人员，制定服务方案。工作人员需熟悉会展行业发展规律、西安产业发展实际，并具备产业研究、规划编制、政策分析工作经验。</w:t>
            </w:r>
          </w:p>
          <w:p>
            <w:pPr>
              <w:pStyle w:val="null3"/>
              <w:ind w:firstLine="400"/>
            </w:pPr>
            <w:r>
              <w:rPr>
                <w:rFonts w:ascii="仿宋_GB2312" w:hAnsi="仿宋_GB2312" w:cs="仿宋_GB2312" w:eastAsia="仿宋_GB2312"/>
                <w:sz w:val="20"/>
                <w:color w:val="000000"/>
              </w:rPr>
              <w:t>五、商务要求</w:t>
            </w:r>
          </w:p>
          <w:p>
            <w:pPr>
              <w:pStyle w:val="null3"/>
              <w:ind w:firstLine="400"/>
            </w:pPr>
            <w:r>
              <w:rPr>
                <w:rFonts w:ascii="仿宋_GB2312" w:hAnsi="仿宋_GB2312" w:cs="仿宋_GB2312" w:eastAsia="仿宋_GB2312"/>
                <w:sz w:val="20"/>
                <w:color w:val="000000"/>
              </w:rPr>
              <w:t>（一）服务期限</w:t>
            </w:r>
          </w:p>
          <w:p>
            <w:pPr>
              <w:pStyle w:val="null3"/>
              <w:ind w:firstLine="400"/>
            </w:pPr>
            <w:r>
              <w:rPr>
                <w:rFonts w:ascii="仿宋_GB2312" w:hAnsi="仿宋_GB2312" w:cs="仿宋_GB2312" w:eastAsia="仿宋_GB2312"/>
                <w:sz w:val="20"/>
                <w:color w:val="000000"/>
              </w:rPr>
              <w:t>自合同签订之日至项目结束。</w:t>
            </w:r>
          </w:p>
          <w:p>
            <w:pPr>
              <w:pStyle w:val="null3"/>
              <w:ind w:firstLine="400"/>
            </w:pPr>
            <w:r>
              <w:rPr>
                <w:rFonts w:ascii="仿宋_GB2312" w:hAnsi="仿宋_GB2312" w:cs="仿宋_GB2312" w:eastAsia="仿宋_GB2312"/>
                <w:sz w:val="20"/>
                <w:color w:val="000000"/>
              </w:rPr>
              <w:t>（二）款项结算</w:t>
            </w:r>
          </w:p>
          <w:p>
            <w:pPr>
              <w:pStyle w:val="null3"/>
              <w:ind w:firstLine="400"/>
            </w:pPr>
            <w:r>
              <w:rPr>
                <w:rFonts w:ascii="仿宋_GB2312" w:hAnsi="仿宋_GB2312" w:cs="仿宋_GB2312" w:eastAsia="仿宋_GB2312"/>
                <w:sz w:val="20"/>
                <w:color w:val="000000"/>
              </w:rPr>
              <w:t>合同签订后，供应商向采购方开具等额的增值税普通发票，采购方收到合规的发票，达到付款条件后15个工作日内向乙方支付合同金额的60%项目资金。</w:t>
            </w:r>
          </w:p>
          <w:p>
            <w:pPr>
              <w:pStyle w:val="null3"/>
              <w:ind w:firstLine="400"/>
            </w:pPr>
            <w:r>
              <w:rPr>
                <w:rFonts w:ascii="仿宋_GB2312" w:hAnsi="仿宋_GB2312" w:cs="仿宋_GB2312" w:eastAsia="仿宋_GB2312"/>
                <w:sz w:val="20"/>
                <w:color w:val="000000"/>
              </w:rPr>
              <w:t>剩余40%，供应商项目执行结束经验收合格后，向采购方开具等额的增值税普通发票。采购方收到合规的发票，达到付款条件后15个工作日内一次性支付。</w:t>
            </w:r>
          </w:p>
          <w:p>
            <w:pPr>
              <w:pStyle w:val="null3"/>
              <w:ind w:firstLine="400"/>
            </w:pPr>
            <w:r>
              <w:rPr>
                <w:rFonts w:ascii="仿宋_GB2312" w:hAnsi="仿宋_GB2312" w:cs="仿宋_GB2312" w:eastAsia="仿宋_GB2312"/>
                <w:sz w:val="20"/>
                <w:color w:val="000000"/>
              </w:rPr>
              <w:t>六、其他</w:t>
            </w:r>
          </w:p>
          <w:p>
            <w:pPr>
              <w:pStyle w:val="null3"/>
              <w:ind w:firstLine="400"/>
            </w:pPr>
            <w:r>
              <w:rPr>
                <w:rFonts w:ascii="仿宋_GB2312" w:hAnsi="仿宋_GB2312" w:cs="仿宋_GB2312" w:eastAsia="仿宋_GB2312"/>
                <w:sz w:val="20"/>
                <w:color w:val="000000"/>
              </w:rPr>
              <w:t>（一）对服务商的业绩要求</w:t>
            </w:r>
          </w:p>
          <w:p>
            <w:pPr>
              <w:pStyle w:val="null3"/>
              <w:ind w:firstLine="400"/>
            </w:pPr>
            <w:r>
              <w:rPr>
                <w:rFonts w:ascii="仿宋_GB2312" w:hAnsi="仿宋_GB2312" w:cs="仿宋_GB2312" w:eastAsia="仿宋_GB2312"/>
                <w:sz w:val="20"/>
                <w:color w:val="000000"/>
              </w:rPr>
              <w:t>熟悉西安会展业发展情况，具有类似项目服务业绩。</w:t>
            </w:r>
          </w:p>
          <w:p>
            <w:pPr>
              <w:pStyle w:val="null3"/>
              <w:ind w:firstLine="400"/>
            </w:pPr>
            <w:r>
              <w:rPr>
                <w:rFonts w:ascii="仿宋_GB2312" w:hAnsi="仿宋_GB2312" w:cs="仿宋_GB2312" w:eastAsia="仿宋_GB2312"/>
                <w:sz w:val="20"/>
                <w:color w:val="000000"/>
              </w:rPr>
              <w:t>（二）进度要求</w:t>
            </w:r>
          </w:p>
          <w:p>
            <w:pPr>
              <w:pStyle w:val="null3"/>
              <w:ind w:firstLine="400"/>
            </w:pPr>
            <w:r>
              <w:rPr>
                <w:rFonts w:ascii="仿宋_GB2312" w:hAnsi="仿宋_GB2312" w:cs="仿宋_GB2312" w:eastAsia="仿宋_GB2312"/>
                <w:sz w:val="20"/>
                <w:color w:val="000000"/>
              </w:rPr>
              <w:t>合同签订后30个工作日内完成调研梳理并形成分析材料；调研完成后15个工作日内完成目录框架搭建；框架确定后30个工作日内完成初稿撰写；初稿完成后20个工作日内完成论证修改并形成评审稿；评审通过后10个工作日内完成定稿交付。</w:t>
            </w:r>
          </w:p>
          <w:p>
            <w:pPr>
              <w:pStyle w:val="null3"/>
              <w:ind w:firstLine="400"/>
            </w:pPr>
            <w:r>
              <w:rPr>
                <w:rFonts w:ascii="仿宋_GB2312" w:hAnsi="仿宋_GB2312" w:cs="仿宋_GB2312" w:eastAsia="仿宋_GB2312"/>
                <w:sz w:val="20"/>
                <w:color w:val="000000"/>
              </w:rPr>
              <w:t>（三）成果交付要求</w:t>
            </w:r>
          </w:p>
          <w:p>
            <w:pPr>
              <w:pStyle w:val="null3"/>
              <w:ind w:firstLine="400"/>
            </w:pPr>
            <w:r>
              <w:rPr>
                <w:rFonts w:ascii="仿宋_GB2312" w:hAnsi="仿宋_GB2312" w:cs="仿宋_GB2312" w:eastAsia="仿宋_GB2312"/>
                <w:sz w:val="20"/>
                <w:color w:val="000000"/>
              </w:rPr>
              <w:t>1.</w:t>
            </w:r>
            <w:r>
              <w:rPr>
                <w:rFonts w:ascii="仿宋_GB2312" w:hAnsi="仿宋_GB2312" w:cs="仿宋_GB2312" w:eastAsia="仿宋_GB2312"/>
                <w:sz w:val="20"/>
                <w:color w:val="000000"/>
              </w:rPr>
              <w:t>提供《西安市会展产业发展现状调研分析报告》1份。</w:t>
            </w:r>
          </w:p>
          <w:p>
            <w:pPr>
              <w:pStyle w:val="null3"/>
              <w:ind w:firstLine="400"/>
            </w:pPr>
            <w:r>
              <w:rPr>
                <w:rFonts w:ascii="仿宋_GB2312" w:hAnsi="仿宋_GB2312" w:cs="仿宋_GB2312" w:eastAsia="仿宋_GB2312"/>
                <w:sz w:val="20"/>
                <w:color w:val="000000"/>
              </w:rPr>
              <w:t>2.</w:t>
            </w:r>
            <w:r>
              <w:rPr>
                <w:rFonts w:ascii="仿宋_GB2312" w:hAnsi="仿宋_GB2312" w:cs="仿宋_GB2312" w:eastAsia="仿宋_GB2312"/>
                <w:sz w:val="20"/>
                <w:color w:val="000000"/>
              </w:rPr>
              <w:t>提供《西安市会展产业指导目录》纸质版与电子版各1套。</w:t>
            </w:r>
          </w:p>
          <w:p>
            <w:pPr>
              <w:pStyle w:val="null3"/>
              <w:ind w:firstLine="400"/>
            </w:pPr>
            <w:r>
              <w:rPr>
                <w:rFonts w:ascii="仿宋_GB2312" w:hAnsi="仿宋_GB2312" w:cs="仿宋_GB2312" w:eastAsia="仿宋_GB2312"/>
                <w:sz w:val="20"/>
                <w:color w:val="000000"/>
              </w:rPr>
              <w:t>3.</w:t>
            </w:r>
            <w:r>
              <w:rPr>
                <w:rFonts w:ascii="仿宋_GB2312" w:hAnsi="仿宋_GB2312" w:cs="仿宋_GB2312" w:eastAsia="仿宋_GB2312"/>
                <w:sz w:val="20"/>
                <w:color w:val="000000"/>
              </w:rPr>
              <w:t>提供专家论证意见汇总表、意见征求修改说明等过程资料1套。</w:t>
            </w:r>
          </w:p>
          <w:p>
            <w:pPr>
              <w:pStyle w:val="null3"/>
              <w:ind w:firstLine="400"/>
            </w:pPr>
            <w:r>
              <w:rPr>
                <w:rFonts w:ascii="仿宋_GB2312" w:hAnsi="仿宋_GB2312" w:cs="仿宋_GB2312" w:eastAsia="仿宋_GB2312"/>
                <w:sz w:val="20"/>
                <w:color w:val="000000"/>
              </w:rPr>
              <w:t>以上资料提供纸质版10份；电子版2份，并刻录U盘。</w:t>
            </w:r>
          </w:p>
          <w:p>
            <w:pPr>
              <w:pStyle w:val="null3"/>
              <w:ind w:firstLine="400"/>
            </w:pPr>
            <w:r>
              <w:rPr>
                <w:rFonts w:ascii="仿宋_GB2312" w:hAnsi="仿宋_GB2312" w:cs="仿宋_GB2312" w:eastAsia="仿宋_GB2312"/>
                <w:sz w:val="20"/>
                <w:color w:val="000000"/>
              </w:rPr>
              <w:t>（四）质量验收标准或规范</w:t>
            </w:r>
          </w:p>
          <w:p>
            <w:pPr>
              <w:pStyle w:val="null3"/>
              <w:ind w:firstLine="400"/>
            </w:pPr>
            <w:r>
              <w:rPr>
                <w:rFonts w:ascii="仿宋_GB2312" w:hAnsi="仿宋_GB2312" w:cs="仿宋_GB2312" w:eastAsia="仿宋_GB2312"/>
                <w:sz w:val="20"/>
                <w:color w:val="000000"/>
              </w:rPr>
              <w:t>按照《西安市会展业促进条例》、省市会展业发展政策及本项目工作方案要求，参考其他城市会展业指导目录、图谱、清单、指引的编制情况，在规定时间内完成调研、框架搭建、撰写、论证、修改、定稿等各个环节的工作。指导目录做到结构完整、内容详实、科学前瞻、贴合西安实际，体现会展产业发展方向、重点任务与实施路径，并按照甲方要求做好验收相关工作。</w:t>
            </w:r>
          </w:p>
          <w:p>
            <w:pPr>
              <w:pStyle w:val="null3"/>
              <w:ind w:firstLine="400"/>
            </w:pPr>
            <w:r>
              <w:rPr>
                <w:rFonts w:ascii="仿宋_GB2312" w:hAnsi="仿宋_GB2312" w:cs="仿宋_GB2312" w:eastAsia="仿宋_GB2312"/>
                <w:sz w:val="20"/>
                <w:color w:val="000000"/>
              </w:rPr>
              <w:t>（五）违约责任</w:t>
            </w:r>
          </w:p>
          <w:p>
            <w:pPr>
              <w:pStyle w:val="null3"/>
              <w:ind w:firstLine="400"/>
            </w:pPr>
            <w:r>
              <w:rPr>
                <w:rFonts w:ascii="仿宋_GB2312" w:hAnsi="仿宋_GB2312" w:cs="仿宋_GB2312" w:eastAsia="仿宋_GB2312"/>
                <w:sz w:val="20"/>
                <w:color w:val="000000"/>
              </w:rPr>
              <w:t>1.</w:t>
            </w:r>
            <w:r>
              <w:rPr>
                <w:rFonts w:ascii="仿宋_GB2312" w:hAnsi="仿宋_GB2312" w:cs="仿宋_GB2312" w:eastAsia="仿宋_GB2312"/>
                <w:sz w:val="20"/>
                <w:color w:val="000000"/>
              </w:rPr>
              <w:t>按《中华人民共和国民法典》中的相关条款执行。</w:t>
            </w:r>
          </w:p>
          <w:p>
            <w:pPr>
              <w:pStyle w:val="null3"/>
              <w:ind w:firstLine="400"/>
            </w:pPr>
            <w:r>
              <w:rPr>
                <w:rFonts w:ascii="仿宋_GB2312" w:hAnsi="仿宋_GB2312" w:cs="仿宋_GB2312" w:eastAsia="仿宋_GB2312"/>
                <w:sz w:val="20"/>
                <w:color w:val="000000"/>
              </w:rPr>
              <w:t>2.</w:t>
            </w:r>
            <w:r>
              <w:rPr>
                <w:rFonts w:ascii="仿宋_GB2312" w:hAnsi="仿宋_GB2312" w:cs="仿宋_GB2312" w:eastAsia="仿宋_GB2312"/>
                <w:sz w:val="20"/>
                <w:color w:val="000000"/>
              </w:rPr>
              <w:t>如任意一方不履行合同义务或者履行合同义务不符合约定的，应当承担继续履行、采取补救措施或者赔偿损失等违约责任。</w:t>
            </w:r>
          </w:p>
          <w:p>
            <w:pPr>
              <w:pStyle w:val="null3"/>
              <w:ind w:firstLine="400"/>
            </w:pPr>
            <w:r>
              <w:rPr>
                <w:rFonts w:ascii="仿宋_GB2312" w:hAnsi="仿宋_GB2312" w:cs="仿宋_GB2312" w:eastAsia="仿宋_GB2312"/>
                <w:sz w:val="20"/>
                <w:color w:val="000000"/>
              </w:rPr>
              <w:t>3.</w:t>
            </w:r>
            <w:r>
              <w:rPr>
                <w:rFonts w:ascii="仿宋_GB2312" w:hAnsi="仿宋_GB2312" w:cs="仿宋_GB2312" w:eastAsia="仿宋_GB2312"/>
                <w:sz w:val="20"/>
                <w:color w:val="000000"/>
              </w:rPr>
              <w:t>因任何一方违约导致合同无法继续履行的，违约方需赔偿守约方合同金额20%的违约金，该违约金不足以弥补守约方实际损失的，违约方应赔偿守约方所有实际损失。</w:t>
            </w:r>
          </w:p>
          <w:p>
            <w:pPr>
              <w:pStyle w:val="null3"/>
            </w:pPr>
            <w:r>
              <w:rPr>
                <w:rFonts w:ascii="仿宋_GB2312" w:hAnsi="仿宋_GB2312" w:cs="仿宋_GB2312" w:eastAsia="仿宋_GB2312"/>
                <w:sz w:val="20"/>
                <w:color w:val="000000"/>
              </w:rPr>
              <w:t xml:space="preserve">    4.</w:t>
            </w:r>
            <w:r>
              <w:rPr>
                <w:rFonts w:ascii="仿宋_GB2312" w:hAnsi="仿宋_GB2312" w:cs="仿宋_GB2312" w:eastAsia="仿宋_GB2312"/>
                <w:sz w:val="20"/>
                <w:color w:val="000000"/>
              </w:rPr>
              <w:t>如碰到不可抗力因素造成无法按照原计划提供服务的，由甲乙双方协商解决。</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详见评分标准</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服务质量：合格。</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自合同签订之日起至项目结束</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西安市会展业促进条例》、省市会展业发展政策及本项目工作方案要求，参考其他城市会展业指导目录、图谱、清单、指引的编制情况，在规定时间内完成调研、框架搭建、撰写、论证、修改、定稿等各个环节的工作。指导目录做到结构完整、内容详实、科学前瞻、贴合西安实际，体现会展产业发展方向、重点任务与实施路径，并按照甲方要求做好验收相关工作。</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合同签订后，供应商向采购方开具等额的增值税普通发票，采购方收到合规的发票</w:t>
      </w:r>
      <w:r>
        <w:rPr>
          <w:rFonts w:ascii="仿宋_GB2312" w:hAnsi="仿宋_GB2312" w:cs="仿宋_GB2312" w:eastAsia="仿宋_GB2312"/>
        </w:rPr>
        <w:t xml:space="preserve"> ，达到付款条件起 </w:t>
      </w:r>
      <w:r>
        <w:rPr>
          <w:rFonts w:ascii="仿宋_GB2312" w:hAnsi="仿宋_GB2312" w:cs="仿宋_GB2312" w:eastAsia="仿宋_GB2312"/>
        </w:rPr>
        <w:t>21</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供应商项目执行结束经验收合格后，向采购方开具等额的增值税普通发票。采购方收到合规的发票</w:t>
      </w:r>
      <w:r>
        <w:rPr>
          <w:rFonts w:ascii="仿宋_GB2312" w:hAnsi="仿宋_GB2312" w:cs="仿宋_GB2312" w:eastAsia="仿宋_GB2312"/>
        </w:rPr>
        <w:t xml:space="preserve"> ，达到付款条件起 </w:t>
      </w:r>
      <w:r>
        <w:rPr>
          <w:rFonts w:ascii="仿宋_GB2312" w:hAnsi="仿宋_GB2312" w:cs="仿宋_GB2312" w:eastAsia="仿宋_GB2312"/>
        </w:rPr>
        <w:t>21</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2.如任意一方不履行合同义务或者履行合同义务不符合约定的，应当承担继续履行、采取补救措施或者赔偿损失等违约责任。 3.因任何一方违约导致合同无法继续履行的，违约方需赔偿守约方合同金额20%的违约金，该违约金不足以弥补守约方实际损失的，违约方应赔偿守约方所有实际损失。 4.如碰到不可抗力因素造成无法按照原计划提供服务的，由甲乙双方协商解决。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本项目通过电子化交易系统协商，供应商需在电子化交易系统上传响应的文件。成交供应商在领取成交通知书前，须向采购代理机构提供纸质版响应文件3套（一正两副），且提供的响应文件必须与在陕西省政府采购综合管理平台的项目电子化交易系统中递交的电子响应文件内容一致，纸质版响应文件必须装订成册签字盖章。递交地址：陕西省西安市经济技术开发区凤城八路长和国际F座22层，联系电话：029-86522030转612）。 本项目所属行业为：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供应商应提交的相关资格证明材料1.docx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供应商应提交的相关资格证明材料1.docx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供应商应提交的相关资格证明材料1.docx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具有独立承担民事责任能力的法人、其他组织或自然人，营业执照、组织机构代码证、税务登记证（三证合一只提供营业执照，事业单位提供事业单位法人证书，自然人应提供身份证）合法有效</w:t>
            </w:r>
          </w:p>
        </w:tc>
        <w:tc>
          <w:tcPr>
            <w:tcW w:type="dxa" w:w="1661"/>
          </w:tcPr>
          <w:p>
            <w:pPr>
              <w:pStyle w:val="null3"/>
            </w:pPr>
            <w:r>
              <w:rPr>
                <w:rFonts w:ascii="仿宋_GB2312" w:hAnsi="仿宋_GB2312" w:cs="仿宋_GB2312" w:eastAsia="仿宋_GB2312"/>
              </w:rPr>
              <w:t>供应商应提交的相关资格证明材料1.docx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供应商身份授权</w:t>
            </w:r>
          </w:p>
        </w:tc>
        <w:tc>
          <w:tcPr>
            <w:tcW w:type="dxa" w:w="3322"/>
          </w:tcPr>
          <w:p>
            <w:pPr>
              <w:pStyle w:val="null3"/>
            </w:pPr>
            <w:r>
              <w:rPr>
                <w:rFonts w:ascii="仿宋_GB2312" w:hAnsi="仿宋_GB2312" w:cs="仿宋_GB2312" w:eastAsia="仿宋_GB2312"/>
              </w:rPr>
              <w:t>供应商应授权合法的人员参加磋商，其中法定代表人直接参加的须出具法人身份证，须与营业执照上信息一致，授权代表参加的须出具法定代表人授权书及被授权人身份证及本单位参保证明（提交响应文件截止时间前六个月内任意一个月的社会保险缴纳证明）</w:t>
            </w:r>
          </w:p>
        </w:tc>
        <w:tc>
          <w:tcPr>
            <w:tcW w:type="dxa" w:w="1661"/>
          </w:tcPr>
          <w:p>
            <w:pPr>
              <w:pStyle w:val="null3"/>
            </w:pPr>
            <w:r>
              <w:rPr>
                <w:rFonts w:ascii="仿宋_GB2312" w:hAnsi="仿宋_GB2312" w:cs="仿宋_GB2312" w:eastAsia="仿宋_GB2312"/>
              </w:rPr>
              <w:t>供应商应提交的相关资格证明材料1.docx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提供2025年10月至今已缴纳的至少一个月的纳税证明或完税证明（任意税种），依法免税的单位应提供相关证明材料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供应商应提交的相关资格证明材料1.docx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提供2025年10月至今已缴存的至少一个月的社会保障资金缴存单据或社保机构开具的社会保险参保缴费情况证明，依法不需要缴纳社会保障资金的单位应提供相关证明材料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供应商应提交的相关资格证明材料1.docx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2024年度或2025年度经会计事务所或审计机构出具完整的财务审计报告(包括审计报告、资产负债表、利润表、现金流量表、所有者权益变动表及其附注），成立时间至提交响应文件截止时间不足一年的可提供成立后任意时段的资产负债表，或其开标前六个月内基本开户银行出具的资信证明。（以上两种形式的资料提供任何一种即可）</w:t>
            </w:r>
          </w:p>
        </w:tc>
        <w:tc>
          <w:tcPr>
            <w:tcW w:type="dxa" w:w="1661"/>
          </w:tcPr>
          <w:p>
            <w:pPr>
              <w:pStyle w:val="null3"/>
            </w:pPr>
            <w:r>
              <w:rPr>
                <w:rFonts w:ascii="仿宋_GB2312" w:hAnsi="仿宋_GB2312" w:cs="仿宋_GB2312" w:eastAsia="仿宋_GB2312"/>
              </w:rPr>
              <w:t>供应商应提交的相关资格证明材料1.docx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经营活动</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供应商应提交的相关资格证明材料1.docx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供应商单位负责人为同一人或者存在控股、管理关系的不同单位不得同时进行投标</w:t>
            </w:r>
          </w:p>
        </w:tc>
        <w:tc>
          <w:tcPr>
            <w:tcW w:type="dxa" w:w="1661"/>
          </w:tcPr>
          <w:p>
            <w:pPr>
              <w:pStyle w:val="null3"/>
            </w:pPr>
            <w:r>
              <w:rPr>
                <w:rFonts w:ascii="仿宋_GB2312" w:hAnsi="仿宋_GB2312" w:cs="仿宋_GB2312" w:eastAsia="仿宋_GB2312"/>
              </w:rPr>
              <w:t>供应商应提交的相关资格证明材料1.docx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“信用中国”网站和“中国政府采购网”查询截图</w:t>
            </w:r>
          </w:p>
        </w:tc>
        <w:tc>
          <w:tcPr>
            <w:tcW w:type="dxa" w:w="3322"/>
          </w:tcPr>
          <w:p>
            <w:pPr>
              <w:pStyle w:val="null3"/>
            </w:pPr>
            <w:r>
              <w:rPr>
                <w:rFonts w:ascii="仿宋_GB2312" w:hAnsi="仿宋_GB2312" w:cs="仿宋_GB2312" w:eastAsia="仿宋_GB2312"/>
              </w:rPr>
              <w:t>供应商不得为“信用中国”网站（www.creditchina.gov.cn）（中国执行信息公开网）和中国政府采购网（www.ccgp.gov.cn）中被列入失信被执行人、重大税收违法失信主体、政府采购严重违法失信行为记录名单的单位</w:t>
            </w:r>
          </w:p>
        </w:tc>
        <w:tc>
          <w:tcPr>
            <w:tcW w:type="dxa" w:w="1661"/>
          </w:tcPr>
          <w:p>
            <w:pPr>
              <w:pStyle w:val="null3"/>
            </w:pPr>
            <w:r>
              <w:rPr>
                <w:rFonts w:ascii="仿宋_GB2312" w:hAnsi="仿宋_GB2312" w:cs="仿宋_GB2312" w:eastAsia="仿宋_GB2312"/>
              </w:rPr>
              <w:t>供应商应提交的相关资格证明材料1.docx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具有履行合同所必需的设备和专业技术能力的承诺函</w:t>
            </w:r>
          </w:p>
        </w:tc>
        <w:tc>
          <w:tcPr>
            <w:tcW w:type="dxa" w:w="1661"/>
          </w:tcPr>
          <w:p>
            <w:pPr>
              <w:pStyle w:val="null3"/>
            </w:pPr>
            <w:r>
              <w:rPr>
                <w:rFonts w:ascii="仿宋_GB2312" w:hAnsi="仿宋_GB2312" w:cs="仿宋_GB2312" w:eastAsia="仿宋_GB2312"/>
              </w:rPr>
              <w:t>供应商应提交的相关资格证明材料1.docx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项目为专门面向中小企业项目，供应商须为中型企业或者小型、微型企业或监狱企业或残疾人福利性单位</w:t>
            </w:r>
          </w:p>
        </w:tc>
        <w:tc>
          <w:tcPr>
            <w:tcW w:type="dxa" w:w="1661"/>
          </w:tcPr>
          <w:p>
            <w:pPr>
              <w:pStyle w:val="null3"/>
            </w:pPr>
            <w:r>
              <w:rPr>
                <w:rFonts w:ascii="仿宋_GB2312" w:hAnsi="仿宋_GB2312" w:cs="仿宋_GB2312" w:eastAsia="仿宋_GB2312"/>
              </w:rPr>
              <w:t>供应商应提交的相关资格证明材料1.docx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不接受联合体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供应商应提交的相关资格证明材料1.docx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按照《关于推动解决政府采购异常低价问题的通知》(财库〔2026〕2号)规定，出现下列情形之一的，评审委员会应当启动异常低价投标（响应）审查程序：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2.投标（响应）报价低于通过符合性审查的次低报价供应商投标（响应）报价65%的，即投标（响应）报价&lt;通过符合性审查的次低报价供应商投标（响应）报价×65%； 3.投标（响应）报价低于采购项目最高限价65%的，即投标（响应）报价&lt;采购项目最高限价×65%； 4.评审委员会基于专业判断，认为供应商报价过低，有可能影响产品质量或者不能诚信履约的其他情形。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在磋商响应文件中指定落款处，按文件要求盖章或签字</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符合磋商文件的格式要求无重大偏离</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响应（投标）内容</w:t>
            </w:r>
          </w:p>
        </w:tc>
        <w:tc>
          <w:tcPr>
            <w:tcW w:type="dxa" w:w="3322"/>
          </w:tcPr>
          <w:p>
            <w:pPr>
              <w:pStyle w:val="null3"/>
            </w:pPr>
            <w:r>
              <w:rPr>
                <w:rFonts w:ascii="仿宋_GB2312" w:hAnsi="仿宋_GB2312" w:cs="仿宋_GB2312" w:eastAsia="仿宋_GB2312"/>
              </w:rPr>
              <w:t>与磋商内容一致，无重大偏离</w:t>
            </w:r>
          </w:p>
        </w:tc>
        <w:tc>
          <w:tcPr>
            <w:tcW w:type="dxa" w:w="1661"/>
          </w:tcPr>
          <w:p>
            <w:pPr>
              <w:pStyle w:val="null3"/>
            </w:pPr>
            <w:r>
              <w:rPr>
                <w:rFonts w:ascii="仿宋_GB2312" w:hAnsi="仿宋_GB2312" w:cs="仿宋_GB2312" w:eastAsia="仿宋_GB2312"/>
              </w:rPr>
              <w:t>响应文件封面 商务应答表 陕西省政府采购供应商拒绝政府采购领域商业贿赂承诺书.docx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自磋商响应文件递交之日起不少于90个日历天</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首次磋商报价</w:t>
            </w:r>
          </w:p>
        </w:tc>
        <w:tc>
          <w:tcPr>
            <w:tcW w:type="dxa" w:w="3322"/>
          </w:tcPr>
          <w:p>
            <w:pPr>
              <w:pStyle w:val="null3"/>
            </w:pPr>
            <w:r>
              <w:rPr>
                <w:rFonts w:ascii="仿宋_GB2312" w:hAnsi="仿宋_GB2312" w:cs="仿宋_GB2312" w:eastAsia="仿宋_GB2312"/>
              </w:rPr>
              <w:t>未超过磋商最高限价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服务内容及服务邀请应答表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服务质量</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服务内容及服务邀请应答表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供应商应对会展产业基础调研与分析、会展产业延伸研究与编制，要求结构完整、内容详实、科学前瞻、要贴合实际。提供内容包括不限于①产业现状调研的分析；②重点城市调研的分析；③对西安市就业相关政策的分析。分析全面、重难点清晰且有针对性解决方案，赋9分； 分析较全面、重难点较清晰且有针对性解决方案，赋6分；有分析但不全面、重难点不清晰清晰但有针对性解决方案，赋3分；未提供或需求分析完全脱离项目实际的不得分。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结合供应商的业务特点与实际情况，针对本项目提出详细的服务方案。提供内容包括但不限于①完善指导目录框架体系方案、②科学制定发展指引方案、③明确招展引会优先级方案、④构建本土展会培育体系方案、⑤制定强链建圈实施方案等。 服务方案完整、合理、可行性强、完全满足项目需求，赋20分； 服务方案基本完整、合理、有一定的可行性、能满足项目基本要求，赋15分； 服务方案不够完整、合理、可行性一般，但基本能满足项目要求，赋12分； 有服务方案，但不完整，有缺项，可行性一般，较难满足项目建设要求，赋8分； 服务方案不完整，内容有缺项，可行性较差，不能满足项目建设需求，赋3分； 未提供或服务方案完全脱离项目实际的不得分。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提供拟投入本项目的人员配备方案，内容包括不限于①组织架构、②人员执业资格、从业经验、③人员保障措施、④人员岗位职责。人员配备方案完整、合理、可行性强、完全满足项目需求，赋12分； 人员配备方案基本完整、合理、有一定的可行性、能满足项目基本要求，赋9分； 人员配备基本合理，方案不够完整、合理、可行性一般，但基本能满足项目要求，赋6分；人员配备不合理，方案不完整，内容有缺项，可行性较差，不能满足项目建设需求，赋3分； 未提供或方案完全脱离项目实际的不得分。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供应商提供针对本项目的质量保障措施，内容包括不限于①基础数据采集的准确性、完整性、②分析过程、分析方法的准确性、③目录编制的完整性、科学性、④输出成果的正确性等保证措施。 措施完整、合理、可行性强、完全满足项目需求，赋12分； 措施基本完整、合理、有一定的可行性、能满足项目基本要求，赋9分； 措施不够完整、合理、可行性一般，但基本能满足项目要求，赋6分； 措施单一，内容有缺项，可行性较差，不能满足项目建设需求，赋3分； 未提供或措施脱离项目实际的不得分。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进度控制方案</w:t>
            </w:r>
          </w:p>
        </w:tc>
        <w:tc>
          <w:tcPr>
            <w:tcW w:type="dxa" w:w="2492"/>
          </w:tcPr>
          <w:p>
            <w:pPr>
              <w:pStyle w:val="null3"/>
            </w:pPr>
            <w:r>
              <w:rPr>
                <w:rFonts w:ascii="仿宋_GB2312" w:hAnsi="仿宋_GB2312" w:cs="仿宋_GB2312" w:eastAsia="仿宋_GB2312"/>
              </w:rPr>
              <w:t>供应商依据本项目需求编制进度控制方案，内容包括不限于①项目进度计划、②进度保障措施、③进度保障承诺等。 方案完整、合理、可行性强、完全满足项目需求，赋12分； 方案基本完整、合理、有一定的可行性、能满足项目基本要求，赋9分； 方案不够完整、合理、可行性一般，但基本能满足项目要求，赋6分； 方案不完整，内容有缺项，可行性较差，不能满足项目建设需求，赋3分； 未提供或方案完全脱离项目实际的不得分。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供应商针对本项目成果后续使用，提出服务响应方案。依据供应商提出的①售后保障方案、②售后服务承诺。 方案完善、合理、可实施性强，赋9分；方案基本完善、合理、可实施性一般，赋6分；方案承诺简单，内容空泛，赋3分； 未提供或方案完全脱离项目实际的不得分。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针对本项目实施提出有利于项目实施、成果实现的建议。 建议完善、合理、可实施性强，赋6分；建议基本完善、合理、可实施性一般，赋3分； 建议简单，内容空泛，赋1分； 未提供或建议完全脱离项目实际的不得分。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供应商提供2023年4月1日至今（以合同签订时间为准）类似项目业绩，每提供1份计2分，满分10分。 备注：以上业绩须提供供应商与最终用户签订的合同关键页等证明材料。（提供合同关键页复印件并加盖供应商公章）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价格分统一采用低价优先法计算，即满足采购文件要求且最终响应报价最低的报价为评标基准价，其价格分为满分。其他供应商的价格分统一按照下列公式计算：报价得分=(评标基准价／最终报价)×价格权值×100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详见附件：供应商应提交的相关资格证明材料1.docx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