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版本号：DZDL-2026-017Z20260428001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西安市足球发展重点城市建设媒体策划推广服务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DZDL-2026-017Z</w:t>
      </w:r>
      <w:r>
        <w:br/>
      </w:r>
      <w:r>
        <w:br/>
      </w:r>
      <w:r>
        <w:br/>
      </w:r>
    </w:p>
    <w:p>
      <w:pPr>
        <w:pStyle w:val="null3"/>
        <w:jc w:val="center"/>
        <w:outlineLvl w:val="2"/>
      </w:pPr>
      <w:r>
        <w:rPr>
          <w:rFonts w:ascii="仿宋_GB2312" w:hAnsi="仿宋_GB2312" w:cs="仿宋_GB2312" w:eastAsia="仿宋_GB2312"/>
          <w:sz w:val="28"/>
          <w:b/>
        </w:rPr>
        <w:t>西安市足球运动管理中心</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西安市足球运动管理中心</w:t>
      </w:r>
      <w:r>
        <w:rPr>
          <w:rFonts w:ascii="仿宋_GB2312" w:hAnsi="仿宋_GB2312" w:cs="仿宋_GB2312" w:eastAsia="仿宋_GB2312"/>
        </w:rPr>
        <w:t>委托，拟对</w:t>
      </w:r>
      <w:r>
        <w:rPr>
          <w:rFonts w:ascii="仿宋_GB2312" w:hAnsi="仿宋_GB2312" w:cs="仿宋_GB2312" w:eastAsia="仿宋_GB2312"/>
        </w:rPr>
        <w:t>西安市足球发展重点城市建设媒体策划推广服务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DZDL-2026-017Z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西安市足球发展重点城市建设媒体策划推广服务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拟采购一家服务商提供西安市足球发展重点城市建设媒体策划推广服务。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采购包1（西安市足球发展重点城市建设媒体策划推广服务）：属于专门面向中小企业采购。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4、税收缴纳证明：提供递交响应文件截止之日前一年内任意一个月的依法缴纳税收的相关凭据（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5、履约能力的书面声明：提供具有履行合同所必需的设备和专业技术能力的书面声明。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西安市足球运动管理中心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西安市浐灞国际港欧亚大道西安市体育训练中心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029-88065081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朱娟 董蔷芳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029-88861150转615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财库〔2018〕2号)的有关规定执行，经计算不足6000的，按6000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西安市足球运动管理中心</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西安市足球运动管理中心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西安市足球运动管理中心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按国家现行项目实施规范和合同规定的验收评定标准等要求进行验收。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联系电话：029-88861150转615</w:t>
      </w:r>
    </w:p>
    <w:p>
      <w:pPr>
        <w:pStyle w:val="null3"/>
      </w:pPr>
      <w:r>
        <w:rPr>
          <w:rFonts w:ascii="仿宋_GB2312" w:hAnsi="仿宋_GB2312" w:cs="仿宋_GB2312" w:eastAsia="仿宋_GB2312"/>
        </w:rPr>
        <w:t>地址：西安市科技路48号创业广场B座1506室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拟采购一家服务商提供西安市足球发展重点城市建设媒体策划推广服务。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其他体育服务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标的名称：其他体育服务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本项目采购内容如下：</w:t>
            </w:r>
          </w:p>
          <w:p>
            <w:pPr>
              <w:pStyle w:val="null3"/>
              <w:ind w:firstLine="420"/>
            </w:pPr>
            <w:r>
              <w:rPr>
                <w:rFonts w:ascii="仿宋_GB2312" w:hAnsi="仿宋_GB2312" w:cs="仿宋_GB2312" w:eastAsia="仿宋_GB2312"/>
                <w:sz w:val="24"/>
                <w:color w:val="000000"/>
              </w:rPr>
              <w:t>1.</w:t>
            </w:r>
            <w:r>
              <w:rPr>
                <w:rFonts w:ascii="仿宋_GB2312" w:hAnsi="仿宋_GB2312" w:cs="仿宋_GB2312" w:eastAsia="仿宋_GB2312"/>
                <w:sz w:val="24"/>
                <w:color w:val="000000"/>
              </w:rPr>
              <w:t>会同西安市足球运动管理中心相关部门讨论选点，推出系列重磅策划，以系列报道形式讲好西安足球故事，全面传播西安市足管中心及市足协深入、细致和创新性的工作，并全力打造西安足球发展新模式，形成深度化、体系化的报道。</w:t>
            </w:r>
            <w:r>
              <w:rPr>
                <w:rFonts w:ascii="仿宋_GB2312" w:hAnsi="仿宋_GB2312" w:cs="仿宋_GB2312" w:eastAsia="仿宋_GB2312"/>
                <w:sz w:val="24"/>
                <w:color w:val="000000"/>
              </w:rPr>
              <w:t>共计</w:t>
            </w:r>
            <w:r>
              <w:rPr>
                <w:rFonts w:ascii="仿宋_GB2312" w:hAnsi="仿宋_GB2312" w:cs="仿宋_GB2312" w:eastAsia="仿宋_GB2312"/>
                <w:sz w:val="24"/>
                <w:color w:val="000000"/>
              </w:rPr>
              <w:t>20</w:t>
            </w:r>
            <w:r>
              <w:rPr>
                <w:rFonts w:ascii="仿宋_GB2312" w:hAnsi="仿宋_GB2312" w:cs="仿宋_GB2312" w:eastAsia="仿宋_GB2312"/>
                <w:sz w:val="24"/>
                <w:color w:val="000000"/>
              </w:rPr>
              <w:t>个版面</w:t>
            </w:r>
            <w:r>
              <w:rPr>
                <w:rFonts w:ascii="仿宋_GB2312" w:hAnsi="仿宋_GB2312" w:cs="仿宋_GB2312" w:eastAsia="仿宋_GB2312"/>
                <w:sz w:val="24"/>
                <w:color w:val="000000"/>
              </w:rPr>
              <w:t>，在报纸版面和新媒体上同步刊登。定期在报纸新媒体矩阵上传播西安市足球重要信息、赛事赛果和其他重要资讯，</w:t>
            </w:r>
            <w:r>
              <w:rPr>
                <w:rFonts w:ascii="仿宋_GB2312" w:hAnsi="仿宋_GB2312" w:cs="仿宋_GB2312" w:eastAsia="仿宋_GB2312"/>
                <w:sz w:val="24"/>
                <w:color w:val="000000"/>
              </w:rPr>
              <w:t>全年不低于</w:t>
            </w:r>
            <w:r>
              <w:rPr>
                <w:rFonts w:ascii="仿宋_GB2312" w:hAnsi="仿宋_GB2312" w:cs="仿宋_GB2312" w:eastAsia="仿宋_GB2312"/>
                <w:sz w:val="24"/>
                <w:color w:val="000000"/>
              </w:rPr>
              <w:t>20</w:t>
            </w:r>
            <w:r>
              <w:rPr>
                <w:rFonts w:ascii="仿宋_GB2312" w:hAnsi="仿宋_GB2312" w:cs="仿宋_GB2312" w:eastAsia="仿宋_GB2312"/>
                <w:sz w:val="24"/>
                <w:color w:val="000000"/>
              </w:rPr>
              <w:t>条</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2.</w:t>
            </w:r>
            <w:r>
              <w:rPr>
                <w:rFonts w:ascii="仿宋_GB2312" w:hAnsi="仿宋_GB2312" w:cs="仿宋_GB2312" w:eastAsia="仿宋_GB2312"/>
                <w:sz w:val="24"/>
                <w:color w:val="000000"/>
              </w:rPr>
              <w:t>策划宣传</w:t>
            </w:r>
          </w:p>
          <w:p>
            <w:pPr>
              <w:pStyle w:val="null3"/>
              <w:ind w:firstLine="420"/>
            </w:pPr>
            <w:r>
              <w:rPr>
                <w:rFonts w:ascii="仿宋_GB2312" w:hAnsi="仿宋_GB2312" w:cs="仿宋_GB2312" w:eastAsia="仿宋_GB2312"/>
                <w:sz w:val="24"/>
                <w:color w:val="000000"/>
              </w:rPr>
              <w:t>2.1</w:t>
            </w:r>
            <w:r>
              <w:rPr>
                <w:rFonts w:ascii="仿宋_GB2312" w:hAnsi="仿宋_GB2312" w:cs="仿宋_GB2312" w:eastAsia="仿宋_GB2312"/>
                <w:sz w:val="24"/>
                <w:color w:val="000000"/>
              </w:rPr>
              <w:t>通过专题策划、对话、专栏等形式，讲好西安足球故事，广泛传播西安足球全面高质量发展的内涵：会同西安市足球运动管理中心相关部门讨论选点，持续进行系列重磅策划，建立深度化、体系化的内容传播形式。旨在挖掘并全面展现西安市足球事业亮点工作、创新性举措、优异的发展模式和成绩，并在全国性足球专业报纸和其新媒体上同步展现。</w:t>
            </w:r>
          </w:p>
          <w:p>
            <w:pPr>
              <w:pStyle w:val="null3"/>
              <w:ind w:firstLine="420"/>
            </w:pPr>
            <w:r>
              <w:rPr>
                <w:rFonts w:ascii="仿宋_GB2312" w:hAnsi="仿宋_GB2312" w:cs="仿宋_GB2312" w:eastAsia="仿宋_GB2312"/>
                <w:sz w:val="24"/>
                <w:color w:val="000000"/>
              </w:rPr>
              <w:t>2.2</w:t>
            </w:r>
            <w:r>
              <w:rPr>
                <w:rFonts w:ascii="仿宋_GB2312" w:hAnsi="仿宋_GB2312" w:cs="仿宋_GB2312" w:eastAsia="仿宋_GB2312"/>
                <w:sz w:val="24"/>
                <w:color w:val="000000"/>
              </w:rPr>
              <w:t>定期在全国性足球专业报纸和新媒体上展示西安市足球重要信息、赛事赛果和其他重要资讯。</w:t>
            </w:r>
          </w:p>
          <w:p>
            <w:pPr>
              <w:pStyle w:val="null3"/>
              <w:ind w:firstLine="420"/>
            </w:pPr>
            <w:r>
              <w:rPr>
                <w:rFonts w:ascii="仿宋_GB2312" w:hAnsi="仿宋_GB2312" w:cs="仿宋_GB2312" w:eastAsia="仿宋_GB2312"/>
                <w:sz w:val="24"/>
                <w:color w:val="000000"/>
              </w:rPr>
              <w:t>2.3</w:t>
            </w:r>
            <w:r>
              <w:rPr>
                <w:rFonts w:ascii="仿宋_GB2312" w:hAnsi="仿宋_GB2312" w:cs="仿宋_GB2312" w:eastAsia="仿宋_GB2312"/>
                <w:sz w:val="24"/>
                <w:color w:val="000000"/>
              </w:rPr>
              <w:t>开展西安市足球发展重点城市建设相关辅导、策划活动。</w:t>
            </w:r>
          </w:p>
          <w:p>
            <w:pPr>
              <w:pStyle w:val="null3"/>
              <w:ind w:firstLine="420"/>
            </w:pPr>
            <w:r>
              <w:rPr>
                <w:rFonts w:ascii="仿宋_GB2312" w:hAnsi="仿宋_GB2312" w:cs="仿宋_GB2312" w:eastAsia="仿宋_GB2312"/>
                <w:sz w:val="24"/>
                <w:color w:val="000000"/>
              </w:rPr>
              <w:t>3.</w:t>
            </w:r>
            <w:r>
              <w:rPr>
                <w:rFonts w:ascii="仿宋_GB2312" w:hAnsi="仿宋_GB2312" w:cs="仿宋_GB2312" w:eastAsia="仿宋_GB2312"/>
                <w:sz w:val="24"/>
                <w:color w:val="000000"/>
              </w:rPr>
              <w:t>调研沟通机制</w:t>
            </w:r>
          </w:p>
          <w:p>
            <w:pPr>
              <w:pStyle w:val="null3"/>
              <w:ind w:firstLine="420"/>
            </w:pPr>
            <w:r>
              <w:rPr>
                <w:rFonts w:ascii="仿宋_GB2312" w:hAnsi="仿宋_GB2312" w:cs="仿宋_GB2312" w:eastAsia="仿宋_GB2312"/>
                <w:sz w:val="24"/>
                <w:color w:val="000000"/>
              </w:rPr>
              <w:t>协助西安市足球运动管理中心在调研工作中通过媒体视角提出专业的意见和建议并指导其做好西安市建设全国足球发展重点城市相关工作，共同推动西安足球事业向好发展。</w:t>
            </w:r>
          </w:p>
          <w:p>
            <w:pPr>
              <w:pStyle w:val="null3"/>
              <w:ind w:firstLine="420"/>
            </w:pPr>
            <w:r>
              <w:rPr>
                <w:rFonts w:ascii="仿宋_GB2312" w:hAnsi="仿宋_GB2312" w:cs="仿宋_GB2312" w:eastAsia="仿宋_GB2312"/>
                <w:sz w:val="24"/>
                <w:color w:val="000000"/>
              </w:rPr>
              <w:t>4.</w:t>
            </w:r>
            <w:r>
              <w:rPr>
                <w:rFonts w:ascii="仿宋_GB2312" w:hAnsi="仿宋_GB2312" w:cs="仿宋_GB2312" w:eastAsia="仿宋_GB2312"/>
                <w:sz w:val="24"/>
                <w:color w:val="000000"/>
              </w:rPr>
              <w:t>传播分析与建议</w:t>
            </w:r>
          </w:p>
          <w:p>
            <w:pPr>
              <w:pStyle w:val="null3"/>
              <w:ind w:firstLine="420"/>
            </w:pPr>
            <w:r>
              <w:rPr>
                <w:rFonts w:ascii="仿宋_GB2312" w:hAnsi="仿宋_GB2312" w:cs="仿宋_GB2312" w:eastAsia="仿宋_GB2312"/>
                <w:sz w:val="24"/>
                <w:color w:val="000000"/>
              </w:rPr>
              <w:t>协助西安市足球运动管理中心在工作中通过媒体视角提出专业的意见和建议，并全面参与西安市足球的调研走访工作，共同做好西安足球的服务工作。</w:t>
            </w:r>
          </w:p>
          <w:p>
            <w:pPr>
              <w:pStyle w:val="null3"/>
              <w:ind w:firstLine="420"/>
            </w:pPr>
            <w:r>
              <w:rPr>
                <w:rFonts w:ascii="仿宋_GB2312" w:hAnsi="仿宋_GB2312" w:cs="仿宋_GB2312" w:eastAsia="仿宋_GB2312"/>
                <w:sz w:val="24"/>
                <w:color w:val="000000"/>
              </w:rPr>
              <w:t>5.</w:t>
            </w:r>
            <w:r>
              <w:rPr>
                <w:rFonts w:ascii="仿宋_GB2312" w:hAnsi="仿宋_GB2312" w:cs="仿宋_GB2312" w:eastAsia="仿宋_GB2312"/>
                <w:sz w:val="24"/>
                <w:color w:val="000000"/>
              </w:rPr>
              <w:t>赛事论坛策划</w:t>
            </w:r>
          </w:p>
          <w:p>
            <w:pPr>
              <w:pStyle w:val="null3"/>
            </w:pPr>
            <w:r>
              <w:rPr>
                <w:rFonts w:ascii="仿宋_GB2312" w:hAnsi="仿宋_GB2312" w:cs="仿宋_GB2312" w:eastAsia="仿宋_GB2312"/>
                <w:sz w:val="24"/>
                <w:color w:val="000000"/>
              </w:rPr>
              <w:t>策划并执行具有话题性和影响力的足球主题活动，如足球文化节、球星见面会等，吸引媒体关注，提升西安足球的品牌。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合同签订后12个月或合同内容全部执行完毕，以先到项为准。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标准：按国家现行项目实施规范和合同规定的验收评定标准等要求进行验收。（2）验收依据：本项目竞争性磋商文件、响应文件；本合同及附件文本；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合同签订后6个月或项目执行过半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果成交供应商未能履行合同或履行合同不符合约定，采购人应就此向成交供应商发出书面通知，指出成交供应商没有适当履行的合同条款，并要求纠正。如果成交供应商确属违约，并且成交供应商在收到采购人书面通知之日起十五日内仍不纠正违约行为或已无法纠正，采购人有权要求成交供应商承担金额最高不超过服务费总额30％的违约金。2.采购人应当根据本合同约定按时向成交供应商付款，无正当理由迟延付款的，每迟延支付一日，应支付迟延付款金额0.1‰的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履约能力的书面声明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响应文件的签章均符合采购文件要求，且无遗漏。</w:t>
            </w:r>
          </w:p>
        </w:tc>
        <w:tc>
          <w:tcPr>
            <w:tcW w:type="dxa" w:w="1661"/>
          </w:tcPr>
          <w:p>
            <w:pPr>
              <w:pStyle w:val="null3"/>
            </w:pPr>
            <w:r>
              <w:rPr>
                <w:rFonts w:ascii="仿宋_GB2312" w:hAnsi="仿宋_GB2312" w:cs="仿宋_GB2312" w:eastAsia="仿宋_GB2312"/>
              </w:rPr>
              <w:t>响应文件封面 分项报价表.docx 合同文本条款响应.docx 标的清单 报价表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同时满足以下条款：（1）货币单位符合采购文件要求 ；（2）未超出采购预算或最高限价 ；（3）符合《分项报价表》、《报价表》及《标的清单》的填报要求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完全理解并接受对合格供应商、合格的货物、工程或服务要求，结合采购文件第三章“磋商项目技术、服务、商务及其他要求”的实质性要求且没有负偏离。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完全理解并接受采购文件《合同文本》条款的要求，且未有采购人不能接受的附加条件的。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报价表 资格证明文件.docx 供应商承诺书.docx 响应文件封面 分项报价表.docx 合同文本条款响应.docx 残疾人福利性单位声明函 服务方案 标的清单 项目实施人员情况表.docx 响应函 监狱企业的证明文件 类似项目业绩汇总表.docx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项目需求理解、应对措施及合理化建议</w:t>
            </w:r>
          </w:p>
        </w:tc>
        <w:tc>
          <w:tcPr>
            <w:tcW w:type="dxa" w:w="2492"/>
          </w:tcPr>
          <w:p>
            <w:pPr>
              <w:pStyle w:val="null3"/>
            </w:pPr>
            <w:r>
              <w:rPr>
                <w:rFonts w:ascii="仿宋_GB2312" w:hAnsi="仿宋_GB2312" w:cs="仿宋_GB2312" w:eastAsia="仿宋_GB2312"/>
              </w:rPr>
              <w:t>供应商针对本项目需求理解、应对措施及相关的合理化建议，提供具体思路和方案：①需求理解深入透彻、应对措施清晰详细、合理化建议针对性强计10分；②需求理解、应对措施、合理化建议，内容完整能够基本满足本项目采购实际需求计7分；③需求理解、应对措施、合理化建议，三项内容有缺项或内容简单、思路混乱难以满足本项目实际需求计3分；④本评审项未提供相关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包含但不限于策划宣传方案、调研沟通机制、传播分析与建议、赛事论坛策划等）：①服务方案内容全面详细、阐述条理清晰详尽、符合本项目采购需求，可保障本项目高效实施计20分；②服务方案合理、内容完整、思路清晰、符合本项目采购需求，能够保障本项目顺利实施计16分；③服务方案内容完整、无缺漏项、基本贴合本项目实际需求，能够保障本项目正常实施计12分；④服务方案内容简陋凌乱、无缺漏项，未能贴合本项目实际需求，难以保障本项目正常实施的计5分。⑤本评审项未提供相关内容计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时间进度安排</w:t>
            </w:r>
          </w:p>
        </w:tc>
        <w:tc>
          <w:tcPr>
            <w:tcW w:type="dxa" w:w="2492"/>
          </w:tcPr>
          <w:p>
            <w:pPr>
              <w:pStyle w:val="null3"/>
            </w:pPr>
            <w:r>
              <w:rPr>
                <w:rFonts w:ascii="仿宋_GB2312" w:hAnsi="仿宋_GB2312" w:cs="仿宋_GB2312" w:eastAsia="仿宋_GB2312"/>
              </w:rPr>
              <w:t>供应商针对本项目提供时间进度安排（包括但不限于具体的服务内容、响应时间、响应方式、响应计划等）：①时间安排科学合理、利用率高、时效性强，可保障本项目高效实施计5分；②时间安排基本合理，能够保障本项目时效性，顺利完成本项目实施计3分；③有时间安排，时间利用率低，难以保障本项目时效性计1分；④本评审项未提供相关内容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供应商针对本项目提供工作管理措施及人员管理制度（包括但不限于工作管理制度、工作操作规程、工作管理机制、人员管理方案等）：①内容详细全面，切合本项目实际情况、条理清晰、科学合理可保障本项目高效实施计10分；②内容完整、符合本项目实际需要，可保障本项目顺利实施计7分；③内容简陋不完整、条例混乱、未有效结合本项目实际需求编制，难以保障项目正常实施计3分；④本评审项未提供相关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质量保障措施（包括但不限于有完整的服务链，策划宣传、调研沟通、调研走访、赛事论坛策划等均有专业技术人员负责，人员责任分工等）：①内容详细全面，切合本项目实际情况、条理清晰、科学合理可保障本项目高质量实施计10分；②内容完整、符合本项目实际需要，可保障本项目顺利实施计7分；③内容简陋不完整、条例混乱、未有效结合本项目实际需求编制，难以保障本项目质量计3分；④本评审项未提供相关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本项目提供应急措施（包含但不限于可能发生的紧急事件、应急处置流程、快速响应时间、调动的人员数量及分工情况、应急解决方案等）：①措施内容详细全面，切合本项目实际情况、条理清晰、科学合理可保障本项目高效实施计10分；②内容完整、符合本项目实际需要，可保障本项目顺利实施计7分；③内容简陋不完整、条例混乱、未有效结合本项目实际需求编制，难以保障本项目实施计3分；④本评审项未提供相关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服务要求能够充分保证达到项目实施目的，提供详细的服务承诺：①服务承诺内容可行性，可有效提高本项目实施效率计5分；②承诺内容匹配本项目、可顺利配合服务方案完成本项目实施计3分；③承诺内容未结合本项目实际需求提供，内容混乱计1分；④本评审项未提供相关内容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拟派团队</w:t>
            </w:r>
          </w:p>
        </w:tc>
        <w:tc>
          <w:tcPr>
            <w:tcW w:type="dxa" w:w="2492"/>
          </w:tcPr>
          <w:p>
            <w:pPr>
              <w:pStyle w:val="null3"/>
            </w:pPr>
            <w:r>
              <w:rPr>
                <w:rFonts w:ascii="仿宋_GB2312" w:hAnsi="仿宋_GB2312" w:cs="仿宋_GB2312" w:eastAsia="仿宋_GB2312"/>
              </w:rPr>
              <w:t>供应商针对本项目提供拟派项目负责人及项目组成人员（提供人员清单、职责分工、相关证件、社保、项目负责人简历、经验等）：①人员配备合理、分工明确、专业技术实力强、项目负责人经验丰富，人员证明材料充分完整计10分；②人员配置基本合理、分工明确、项目经理负责人有相关工作经验，人员证明材料完整计7分；③人员配置简单、有职责分工、项目负责人经验不足，人员证明材料较少计3分；④本评审项未提供相关内容计0分。备注：①项目负责人经验证明材料以加盖供应商公章的中标（成交）通知书、服务合同或委托人签章的其他证明材料扫描件为准，证明材料中需体现项目负责人姓名等信息；②相关证件证明材料需提供持证人员与本项目相关的职称证书或职业资格证书；③未在有效期内的证明资料视为无效证明资料，不作为评审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根据供应商提供2023年1月1日至今（以合同签订时间为准）完成过类似项目的业绩，每提供一个计2分，满分10分，未提供本项内容计0分。（注：以响应文件中提供的经供应商加盖公章的服务合同扫描件为准）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有效供应商的最终报价的最低值为基准价得10分，其他各供应商的最终报价得分按下列公式计算：（基准价/最终报价）×10％×100。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详见附件：类似项目业绩汇总表.docx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