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版本号：0617-2624GZ085420260429001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视频监控网络及LED屏改造项目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0617-2624GZ0854</w:t>
      </w:r>
      <w:r>
        <w:br/>
      </w:r>
      <w:r>
        <w:br/>
      </w:r>
      <w:r>
        <w:br/>
      </w:r>
    </w:p>
    <w:p>
      <w:pPr>
        <w:pStyle w:val="null3"/>
        <w:jc w:val="center"/>
        <w:outlineLvl w:val="2"/>
      </w:pPr>
      <w:r>
        <w:rPr>
          <w:rFonts w:ascii="仿宋_GB2312" w:hAnsi="仿宋_GB2312" w:cs="仿宋_GB2312" w:eastAsia="仿宋_GB2312"/>
          <w:sz w:val="28"/>
          <w:b/>
        </w:rPr>
        <w:t>西安市第八保育院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西安市第八保育院</w:t>
      </w:r>
      <w:r>
        <w:rPr>
          <w:rFonts w:ascii="仿宋_GB2312" w:hAnsi="仿宋_GB2312" w:cs="仿宋_GB2312" w:eastAsia="仿宋_GB2312"/>
        </w:rPr>
        <w:t>委托，拟对</w:t>
      </w:r>
      <w:r>
        <w:rPr>
          <w:rFonts w:ascii="仿宋_GB2312" w:hAnsi="仿宋_GB2312" w:cs="仿宋_GB2312" w:eastAsia="仿宋_GB2312"/>
        </w:rPr>
        <w:t>视频监控网络及LED屏改造项目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0617-2624GZ0854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视频监控网络及LED屏改造项目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 解决监控卡顿、掉线问题，实现校园监控全覆盖、无死角、高清稳定传输，更换故障监控硬盘，筑牢校园安防防线。 2. 优化活动室无线信号覆盖，保障教学网络稳定，满足智慧教学需求。 3. 升级办公网络架构，确保网络运行稳定、高效，提升行政办公效率。 4. 更换老化LED显示屏，降低设备运维成本，保障配套设备正常运行。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采购包1（视频监控网络及LED屏改造项目）：属于专门面向小微企业采购。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1、授权委托书/法定代表人身份证明：提供法定代表人授权书(附法定代表人、被授权人身份证复印件)或提供法定代表人身份证明及身份证复印件（法定代表人直接参加磋商)。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3、供应商资质：1.供应商具备电子与智能化工程专业承包二级及以上和有效的安全生产许可证。 2.供应商拟派项目经理具备机电工程专业二级及以上注册建造师资格证书，并具有合法有效的安全生产考核合格证（建安B证），未担任其他在施建设工程项目的项目经理。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西安市第八保育院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西安经济技术开发区开元路360号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029-89168931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任晓洁、杨东峰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招标代理服务收费暂行办法》（计价格〔2002〕1980号）”标准计取，不足5000元按照5000元计。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西安市第八保育院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西安市第八保育院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西安市第八保育院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验收标准参照采购合同约定、采购文件、响应文件、国家及行业相关标准执行。 1. 物资配送：合同签订后，按采购人指定时间，将全部项目物资安全配送至指定地点。 2. 安装调试：负责项目所有设备的现场安装、系统联调及功能测试，确保网络、监控的系统全部功能正常实现。 3. 工期保障：严格按照采购人要求的工期完成改造，施工期间尽量减少对正常教学、办公的影响。 4. 售后支持：提供质保期内的免费维修、更换服务，质保期外提供优惠的维保方案及技术支持。 5. 技术培训：为采购人相关人员提供系统操作、日常维护的专业培训，确保人员熟练掌握使用方法。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LED显示屏1</w:t>
            </w:r>
          </w:p>
        </w:tc>
        <w:tc>
          <w:tcPr>
            <w:tcW w:type="dxa" w:w="1384"/>
          </w:tcPr>
          <w:p>
            <w:pPr>
              <w:pStyle w:val="null3"/>
              <w:jc w:val="right"/>
            </w:pPr>
            <w:r>
              <w:rPr>
                <w:rFonts w:ascii="仿宋_GB2312" w:hAnsi="仿宋_GB2312" w:cs="仿宋_GB2312" w:eastAsia="仿宋_GB2312"/>
              </w:rPr>
              <w:t>10.75</w:t>
            </w:r>
          </w:p>
        </w:tc>
        <w:tc>
          <w:tcPr>
            <w:tcW w:type="dxa" w:w="1384"/>
          </w:tcPr>
          <w:p>
            <w:pPr>
              <w:pStyle w:val="null3"/>
              <w:jc w:val="right"/>
            </w:pPr>
            <w:r>
              <w:rPr>
                <w:rFonts w:ascii="仿宋_GB2312" w:hAnsi="仿宋_GB2312" w:cs="仿宋_GB2312" w:eastAsia="仿宋_GB2312"/>
              </w:rPr>
              <w:t>26,875.00</w:t>
            </w:r>
          </w:p>
        </w:tc>
        <w:tc>
          <w:tcPr>
            <w:tcW w:type="dxa" w:w="1384"/>
          </w:tcPr>
          <w:p>
            <w:pPr>
              <w:pStyle w:val="null3"/>
            </w:pPr>
            <w:r>
              <w:rPr>
                <w:rFonts w:ascii="仿宋_GB2312" w:hAnsi="仿宋_GB2312" w:cs="仿宋_GB2312" w:eastAsia="仿宋_GB2312"/>
              </w:rPr>
              <w:t>m2</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2</w:t>
            </w:r>
          </w:p>
        </w:tc>
        <w:tc>
          <w:tcPr>
            <w:tcW w:type="dxa" w:w="1384"/>
          </w:tcPr>
          <w:p>
            <w:pPr>
              <w:pStyle w:val="null3"/>
            </w:pPr>
            <w:r>
              <w:rPr>
                <w:rFonts w:ascii="仿宋_GB2312" w:hAnsi="仿宋_GB2312" w:cs="仿宋_GB2312" w:eastAsia="仿宋_GB2312"/>
              </w:rPr>
              <w:t>LED显示屏2</w:t>
            </w:r>
          </w:p>
        </w:tc>
        <w:tc>
          <w:tcPr>
            <w:tcW w:type="dxa" w:w="1384"/>
          </w:tcPr>
          <w:p>
            <w:pPr>
              <w:pStyle w:val="null3"/>
              <w:jc w:val="right"/>
            </w:pPr>
            <w:r>
              <w:rPr>
                <w:rFonts w:ascii="仿宋_GB2312" w:hAnsi="仿宋_GB2312" w:cs="仿宋_GB2312" w:eastAsia="仿宋_GB2312"/>
              </w:rPr>
              <w:t>12.00</w:t>
            </w:r>
          </w:p>
        </w:tc>
        <w:tc>
          <w:tcPr>
            <w:tcW w:type="dxa" w:w="1384"/>
          </w:tcPr>
          <w:p>
            <w:pPr>
              <w:pStyle w:val="null3"/>
              <w:jc w:val="right"/>
            </w:pPr>
            <w:r>
              <w:rPr>
                <w:rFonts w:ascii="仿宋_GB2312" w:hAnsi="仿宋_GB2312" w:cs="仿宋_GB2312" w:eastAsia="仿宋_GB2312"/>
              </w:rPr>
              <w:t>30,000.00</w:t>
            </w:r>
          </w:p>
        </w:tc>
        <w:tc>
          <w:tcPr>
            <w:tcW w:type="dxa" w:w="1384"/>
          </w:tcPr>
          <w:p>
            <w:pPr>
              <w:pStyle w:val="null3"/>
            </w:pPr>
            <w:r>
              <w:rPr>
                <w:rFonts w:ascii="仿宋_GB2312" w:hAnsi="仿宋_GB2312" w:cs="仿宋_GB2312" w:eastAsia="仿宋_GB2312"/>
              </w:rPr>
              <w:t>m2</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3</w:t>
            </w:r>
          </w:p>
        </w:tc>
        <w:tc>
          <w:tcPr>
            <w:tcW w:type="dxa" w:w="1384"/>
          </w:tcPr>
          <w:p>
            <w:pPr>
              <w:pStyle w:val="null3"/>
            </w:pPr>
            <w:r>
              <w:rPr>
                <w:rFonts w:ascii="仿宋_GB2312" w:hAnsi="仿宋_GB2312" w:cs="仿宋_GB2312" w:eastAsia="仿宋_GB2312"/>
              </w:rPr>
              <w:t>录像机</w:t>
            </w:r>
          </w:p>
        </w:tc>
        <w:tc>
          <w:tcPr>
            <w:tcW w:type="dxa" w:w="1384"/>
          </w:tcPr>
          <w:p>
            <w:pPr>
              <w:pStyle w:val="null3"/>
              <w:jc w:val="right"/>
            </w:pPr>
            <w:r>
              <w:rPr>
                <w:rFonts w:ascii="仿宋_GB2312" w:hAnsi="仿宋_GB2312" w:cs="仿宋_GB2312" w:eastAsia="仿宋_GB2312"/>
              </w:rPr>
              <w:t>5.00</w:t>
            </w:r>
          </w:p>
        </w:tc>
        <w:tc>
          <w:tcPr>
            <w:tcW w:type="dxa" w:w="1384"/>
          </w:tcPr>
          <w:p>
            <w:pPr>
              <w:pStyle w:val="null3"/>
              <w:jc w:val="right"/>
            </w:pPr>
            <w:r>
              <w:rPr>
                <w:rFonts w:ascii="仿宋_GB2312" w:hAnsi="仿宋_GB2312" w:cs="仿宋_GB2312" w:eastAsia="仿宋_GB2312"/>
              </w:rPr>
              <w:t>32,750.00</w:t>
            </w:r>
          </w:p>
        </w:tc>
        <w:tc>
          <w:tcPr>
            <w:tcW w:type="dxa" w:w="1384"/>
          </w:tcPr>
          <w:p>
            <w:pPr>
              <w:pStyle w:val="null3"/>
            </w:pPr>
            <w:r>
              <w:rPr>
                <w:rFonts w:ascii="仿宋_GB2312" w:hAnsi="仿宋_GB2312" w:cs="仿宋_GB2312" w:eastAsia="仿宋_GB2312"/>
              </w:rPr>
              <w:t>台</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4</w:t>
            </w:r>
          </w:p>
        </w:tc>
        <w:tc>
          <w:tcPr>
            <w:tcW w:type="dxa" w:w="1384"/>
          </w:tcPr>
          <w:p>
            <w:pPr>
              <w:pStyle w:val="null3"/>
            </w:pPr>
            <w:r>
              <w:rPr>
                <w:rFonts w:ascii="仿宋_GB2312" w:hAnsi="仿宋_GB2312" w:cs="仿宋_GB2312" w:eastAsia="仿宋_GB2312"/>
              </w:rPr>
              <w:t>POL全光网络终端</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45,700.00</w:t>
            </w:r>
          </w:p>
        </w:tc>
        <w:tc>
          <w:tcPr>
            <w:tcW w:type="dxa" w:w="1384"/>
          </w:tcPr>
          <w:p>
            <w:pPr>
              <w:pStyle w:val="null3"/>
            </w:pPr>
            <w:r>
              <w:rPr>
                <w:rFonts w:ascii="仿宋_GB2312" w:hAnsi="仿宋_GB2312" w:cs="仿宋_GB2312" w:eastAsia="仿宋_GB2312"/>
              </w:rPr>
              <w:t>台</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5</w:t>
            </w:r>
          </w:p>
        </w:tc>
        <w:tc>
          <w:tcPr>
            <w:tcW w:type="dxa" w:w="1384"/>
          </w:tcPr>
          <w:p>
            <w:pPr>
              <w:pStyle w:val="null3"/>
            </w:pPr>
            <w:r>
              <w:rPr>
                <w:rFonts w:ascii="仿宋_GB2312" w:hAnsi="仿宋_GB2312" w:cs="仿宋_GB2312" w:eastAsia="仿宋_GB2312"/>
              </w:rPr>
              <w:t>核心交换机</w:t>
            </w:r>
          </w:p>
        </w:tc>
        <w:tc>
          <w:tcPr>
            <w:tcW w:type="dxa" w:w="1384"/>
          </w:tcPr>
          <w:p>
            <w:pPr>
              <w:pStyle w:val="null3"/>
              <w:jc w:val="right"/>
            </w:pPr>
            <w:r>
              <w:rPr>
                <w:rFonts w:ascii="仿宋_GB2312" w:hAnsi="仿宋_GB2312" w:cs="仿宋_GB2312" w:eastAsia="仿宋_GB2312"/>
              </w:rPr>
              <w:t>2.00</w:t>
            </w:r>
          </w:p>
        </w:tc>
        <w:tc>
          <w:tcPr>
            <w:tcW w:type="dxa" w:w="1384"/>
          </w:tcPr>
          <w:p>
            <w:pPr>
              <w:pStyle w:val="null3"/>
              <w:jc w:val="right"/>
            </w:pPr>
            <w:r>
              <w:rPr>
                <w:rFonts w:ascii="仿宋_GB2312" w:hAnsi="仿宋_GB2312" w:cs="仿宋_GB2312" w:eastAsia="仿宋_GB2312"/>
              </w:rPr>
              <w:t>11,520.00</w:t>
            </w:r>
          </w:p>
        </w:tc>
        <w:tc>
          <w:tcPr>
            <w:tcW w:type="dxa" w:w="1384"/>
          </w:tcPr>
          <w:p>
            <w:pPr>
              <w:pStyle w:val="null3"/>
            </w:pPr>
            <w:r>
              <w:rPr>
                <w:rFonts w:ascii="仿宋_GB2312" w:hAnsi="仿宋_GB2312" w:cs="仿宋_GB2312" w:eastAsia="仿宋_GB2312"/>
              </w:rPr>
              <w:t>台</w:t>
            </w:r>
          </w:p>
        </w:tc>
        <w:tc>
          <w:tcPr>
            <w:tcW w:type="dxa" w:w="1384"/>
          </w:tcPr>
          <w:p>
            <w:pPr>
              <w:pStyle w:val="null3"/>
            </w:pPr>
            <w:r>
              <w:rPr>
                <w:rFonts w:ascii="仿宋_GB2312" w:hAnsi="仿宋_GB2312" w:cs="仿宋_GB2312" w:eastAsia="仿宋_GB2312"/>
              </w:rPr>
              <w:t>建筑业</w:t>
            </w:r>
          </w:p>
        </w:tc>
      </w:tr>
      <w:tr>
        <w:tc>
          <w:tcPr>
            <w:tcW w:type="dxa" w:w="1384"/>
          </w:tcPr>
          <w:p>
            <w:pPr>
              <w:pStyle w:val="null3"/>
            </w:pPr>
            <w:r>
              <w:rPr>
                <w:rFonts w:ascii="仿宋_GB2312" w:hAnsi="仿宋_GB2312" w:cs="仿宋_GB2312" w:eastAsia="仿宋_GB2312"/>
              </w:rPr>
              <w:t>6</w:t>
            </w:r>
          </w:p>
        </w:tc>
        <w:tc>
          <w:tcPr>
            <w:tcW w:type="dxa" w:w="1384"/>
          </w:tcPr>
          <w:p>
            <w:pPr>
              <w:pStyle w:val="null3"/>
            </w:pPr>
            <w:r>
              <w:rPr>
                <w:rFonts w:ascii="仿宋_GB2312" w:hAnsi="仿宋_GB2312" w:cs="仿宋_GB2312" w:eastAsia="仿宋_GB2312"/>
              </w:rPr>
              <w:t>系统网络改造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233,155.00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标的名称：LED显示屏1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P10三色 支持蓝牙以及网络播放</w:t>
            </w:r>
          </w:p>
        </w:tc>
      </w:tr>
    </w:tbl>
    <w:p>
      <w:pPr>
        <w:pStyle w:val="null3"/>
      </w:pPr>
      <w:r>
        <w:rPr>
          <w:rFonts w:ascii="仿宋_GB2312" w:hAnsi="仿宋_GB2312" w:cs="仿宋_GB2312" w:eastAsia="仿宋_GB2312"/>
        </w:rPr>
        <w:t>标的名称：LED显示屏2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P10三色 支持蓝牙以及网络播放</w:t>
            </w:r>
          </w:p>
        </w:tc>
      </w:tr>
    </w:tbl>
    <w:p>
      <w:pPr>
        <w:pStyle w:val="null3"/>
      </w:pPr>
      <w:r>
        <w:rPr>
          <w:rFonts w:ascii="仿宋_GB2312" w:hAnsi="仿宋_GB2312" w:cs="仿宋_GB2312" w:eastAsia="仿宋_GB2312"/>
        </w:rPr>
        <w:t>标的名称：录像机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1、32路网络IPC接入</w:t>
            </w:r>
          </w:p>
          <w:p>
            <w:pPr>
              <w:pStyle w:val="null3"/>
            </w:pPr>
            <w:r>
              <w:rPr>
                <w:rFonts w:ascii="仿宋_GB2312" w:hAnsi="仿宋_GB2312" w:cs="仿宋_GB2312" w:eastAsia="仿宋_GB2312"/>
                <w:sz w:val="21"/>
              </w:rPr>
              <w:t>支持4K/8MP、6MP、5MP、4MP（400万）、3MP、1080P</w:t>
            </w:r>
          </w:p>
          <w:p>
            <w:pPr>
              <w:pStyle w:val="null3"/>
            </w:pPr>
            <w:r>
              <w:rPr>
                <w:rFonts w:ascii="仿宋_GB2312" w:hAnsi="仿宋_GB2312" w:cs="仿宋_GB2312" w:eastAsia="仿宋_GB2312"/>
                <w:sz w:val="21"/>
              </w:rPr>
              <w:t xml:space="preserve"> 编码方式H.265+/H.265、H.264+</w:t>
            </w:r>
          </w:p>
          <w:p>
            <w:pPr>
              <w:pStyle w:val="null3"/>
            </w:pPr>
            <w:r>
              <w:rPr>
                <w:rFonts w:ascii="仿宋_GB2312" w:hAnsi="仿宋_GB2312" w:cs="仿宋_GB2312" w:eastAsia="仿宋_GB2312"/>
                <w:sz w:val="21"/>
              </w:rPr>
              <w:t>AC 100–240V 宽幅电源</w:t>
            </w:r>
          </w:p>
        </w:tc>
      </w:tr>
    </w:tbl>
    <w:p>
      <w:pPr>
        <w:pStyle w:val="null3"/>
      </w:pPr>
      <w:r>
        <w:rPr>
          <w:rFonts w:ascii="仿宋_GB2312" w:hAnsi="仿宋_GB2312" w:cs="仿宋_GB2312" w:eastAsia="仿宋_GB2312"/>
        </w:rPr>
        <w:t>标的名称：POL全光网络终端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支持GPON、XG-PON、XGS-PON、50G PON、P2P 10GE/GE接入；</w:t>
            </w:r>
          </w:p>
          <w:p>
            <w:pPr>
              <w:pStyle w:val="null3"/>
            </w:pPr>
            <w:r>
              <w:rPr>
                <w:rFonts w:ascii="仿宋_GB2312" w:hAnsi="仿宋_GB2312" w:cs="仿宋_GB2312" w:eastAsia="仿宋_GB2312"/>
                <w:sz w:val="21"/>
              </w:rPr>
              <w:t>长期运行温度：0℃ ～ +40℃，长期运行湿度：长期运行湿度：5％～85％；</w:t>
            </w:r>
          </w:p>
          <w:p>
            <w:pPr>
              <w:pStyle w:val="null3"/>
            </w:pPr>
            <w:r>
              <w:rPr>
                <w:rFonts w:ascii="仿宋_GB2312" w:hAnsi="仿宋_GB2312" w:cs="仿宋_GB2312" w:eastAsia="仿宋_GB2312"/>
                <w:sz w:val="21"/>
              </w:rPr>
              <w:t>插框双主控板，双电源板，业务槽位≥15个，支持双电源供电，DC供电，直流电源输入：-48V DC/-60 DC;</w:t>
            </w:r>
          </w:p>
          <w:p>
            <w:pPr>
              <w:pStyle w:val="null3"/>
            </w:pPr>
            <w:r>
              <w:rPr>
                <w:rFonts w:ascii="仿宋_GB2312" w:hAnsi="仿宋_GB2312" w:cs="仿宋_GB2312" w:eastAsia="仿宋_GB2312"/>
                <w:sz w:val="21"/>
              </w:rPr>
              <w:t>主控板的交换容量不少于8Tbit/s，槽位带宽不少于200Gbit/s；</w:t>
            </w:r>
          </w:p>
          <w:p>
            <w:pPr>
              <w:pStyle w:val="null3"/>
            </w:pPr>
            <w:r>
              <w:rPr>
                <w:rFonts w:ascii="仿宋_GB2312" w:hAnsi="仿宋_GB2312" w:cs="仿宋_GB2312" w:eastAsia="仿宋_GB2312"/>
                <w:sz w:val="21"/>
              </w:rPr>
              <w:t>支持4个10GE光口上行，支持以太网链路聚合，支持MSTP特性，VLAN+MAC 转发、SVLAN+CVLAN 转发，支持反向组播，反向组播节省带宽 ，流量分类，优先级处理、流量监管、流量整形，PQ/WRR/PQ+WRR调度，支持802.1x认证接入；</w:t>
            </w:r>
          </w:p>
          <w:p>
            <w:pPr>
              <w:pStyle w:val="null3"/>
            </w:pPr>
            <w:r>
              <w:rPr>
                <w:rFonts w:ascii="仿宋_GB2312" w:hAnsi="仿宋_GB2312" w:cs="仿宋_GB2312" w:eastAsia="仿宋_GB2312"/>
                <w:sz w:val="21"/>
              </w:rPr>
              <w:t>支持OLT Type B/C组网保护，保护切换时间&lt;50ms</w:t>
            </w:r>
          </w:p>
          <w:p>
            <w:pPr>
              <w:pStyle w:val="null3"/>
            </w:pPr>
            <w:r>
              <w:rPr>
                <w:rFonts w:ascii="仿宋_GB2312" w:hAnsi="仿宋_GB2312" w:cs="仿宋_GB2312" w:eastAsia="仿宋_GB2312"/>
                <w:sz w:val="21"/>
              </w:rPr>
              <w:t>需与在用的数字电话系统、视频监控、门禁系统实现兼容互通</w:t>
            </w:r>
          </w:p>
        </w:tc>
      </w:tr>
    </w:tbl>
    <w:p>
      <w:pPr>
        <w:pStyle w:val="null3"/>
      </w:pPr>
      <w:r>
        <w:rPr>
          <w:rFonts w:ascii="仿宋_GB2312" w:hAnsi="仿宋_GB2312" w:cs="仿宋_GB2312" w:eastAsia="仿宋_GB2312"/>
        </w:rPr>
        <w:t>标的名称：核心交换机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三层交换机，交换容量598Gbps/5.98Tbps，包转发率162Mpps/222Mpps；</w:t>
            </w:r>
          </w:p>
          <w:p>
            <w:pPr>
              <w:pStyle w:val="null3"/>
            </w:pPr>
            <w:r>
              <w:rPr>
                <w:rFonts w:ascii="仿宋_GB2312" w:hAnsi="仿宋_GB2312" w:cs="仿宋_GB2312" w:eastAsia="仿宋_GB2312"/>
                <w:sz w:val="21"/>
              </w:rPr>
              <w:t>28个10/100/1000M自适应电口，4个复用SFP光口，4个SFP+光口；</w:t>
            </w:r>
          </w:p>
          <w:p>
            <w:pPr>
              <w:pStyle w:val="null3"/>
            </w:pPr>
            <w:r>
              <w:rPr>
                <w:rFonts w:ascii="仿宋_GB2312" w:hAnsi="仿宋_GB2312" w:cs="仿宋_GB2312" w:eastAsia="仿宋_GB2312"/>
                <w:sz w:val="21"/>
              </w:rPr>
              <w:t>支持RIP，RIPng，OSPFv2，OSPFv3，IS-ISv4，IS-ISv6等路由协议；</w:t>
            </w:r>
          </w:p>
          <w:p>
            <w:pPr>
              <w:pStyle w:val="null3"/>
            </w:pPr>
            <w:r>
              <w:rPr>
                <w:rFonts w:ascii="仿宋_GB2312" w:hAnsi="仿宋_GB2312" w:cs="仿宋_GB2312" w:eastAsia="仿宋_GB2312"/>
                <w:sz w:val="21"/>
              </w:rPr>
              <w:t>支持</w:t>
            </w:r>
            <w:r>
              <w:rPr>
                <w:rFonts w:ascii="仿宋_GB2312" w:hAnsi="仿宋_GB2312" w:cs="仿宋_GB2312" w:eastAsia="仿宋_GB2312"/>
                <w:sz w:val="21"/>
              </w:rPr>
              <w:t>DHCP server；支持虚拟化；支持MACC云平台统一管理。</w:t>
            </w:r>
          </w:p>
        </w:tc>
      </w:tr>
    </w:tbl>
    <w:p>
      <w:pPr>
        <w:pStyle w:val="null3"/>
      </w:pPr>
      <w:r>
        <w:rPr>
          <w:rFonts w:ascii="仿宋_GB2312" w:hAnsi="仿宋_GB2312" w:cs="仿宋_GB2312" w:eastAsia="仿宋_GB2312"/>
        </w:rPr>
        <w:t>标的名称：系统网络改造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全光网络接入单元：</w:t>
            </w:r>
          </w:p>
          <w:p>
            <w:pPr>
              <w:pStyle w:val="null3"/>
            </w:pPr>
            <w:r>
              <w:rPr>
                <w:rFonts w:ascii="仿宋_GB2312" w:hAnsi="仿宋_GB2312" w:cs="仿宋_GB2312" w:eastAsia="仿宋_GB2312"/>
                <w:sz w:val="21"/>
              </w:rPr>
              <w:t>设备外壳材质：铁壳</w:t>
            </w:r>
            <w:r>
              <w:br/>
            </w:r>
            <w:r>
              <w:rPr>
                <w:rFonts w:ascii="仿宋_GB2312" w:hAnsi="仿宋_GB2312" w:cs="仿宋_GB2312" w:eastAsia="仿宋_GB2312"/>
                <w:sz w:val="21"/>
              </w:rPr>
              <w:t xml:space="preserve"> 供电：220V AC，50/60 Hz</w:t>
            </w:r>
          </w:p>
          <w:p>
            <w:pPr>
              <w:pStyle w:val="null3"/>
            </w:pPr>
            <w:r>
              <w:rPr>
                <w:rFonts w:ascii="仿宋_GB2312" w:hAnsi="仿宋_GB2312" w:cs="仿宋_GB2312" w:eastAsia="仿宋_GB2312"/>
                <w:sz w:val="21"/>
              </w:rPr>
              <w:t>运行环境温度范围： –10°C to +55°C,运行环境湿度范围 5% RH 到95% RH</w:t>
            </w:r>
            <w:r>
              <w:br/>
            </w:r>
            <w:r>
              <w:rPr>
                <w:rFonts w:ascii="仿宋_GB2312" w:hAnsi="仿宋_GB2312" w:cs="仿宋_GB2312" w:eastAsia="仿宋_GB2312"/>
                <w:sz w:val="21"/>
              </w:rPr>
              <w:t xml:space="preserve"> 3、接口规格：1*GPON+4*GE电口 /</w:t>
            </w:r>
          </w:p>
          <w:p>
            <w:pPr>
              <w:pStyle w:val="null3"/>
            </w:pPr>
            <w:r>
              <w:rPr>
                <w:rFonts w:ascii="仿宋_GB2312" w:hAnsi="仿宋_GB2312" w:cs="仿宋_GB2312" w:eastAsia="仿宋_GB2312"/>
                <w:sz w:val="21"/>
              </w:rPr>
              <w:t>4、防雷要求：AC 电源：共模 6kV，GE电口：共模 4kV</w:t>
            </w:r>
            <w:r>
              <w:br/>
            </w:r>
            <w:r>
              <w:rPr>
                <w:rFonts w:ascii="仿宋_GB2312" w:hAnsi="仿宋_GB2312" w:cs="仿宋_GB2312" w:eastAsia="仿宋_GB2312"/>
                <w:sz w:val="21"/>
              </w:rPr>
              <w:t xml:space="preserve"> 5、接口类型：SC/UPC， Class B+，/</w:t>
            </w:r>
          </w:p>
          <w:p>
            <w:pPr>
              <w:pStyle w:val="null3"/>
            </w:pPr>
            <w:r>
              <w:rPr>
                <w:rFonts w:ascii="仿宋_GB2312" w:hAnsi="仿宋_GB2312" w:cs="仿宋_GB2312" w:eastAsia="仿宋_GB2312"/>
                <w:sz w:val="21"/>
              </w:rPr>
              <w:t>6、遵循 ITU-T G.984.2，传输速率：下行速率 2.488Gbit/s，上行速率 1.244Gbit/s "</w:t>
            </w:r>
            <w:r>
              <w:br/>
            </w:r>
            <w:r>
              <w:rPr>
                <w:rFonts w:ascii="仿宋_GB2312" w:hAnsi="仿宋_GB2312" w:cs="仿宋_GB2312" w:eastAsia="仿宋_GB2312"/>
                <w:sz w:val="21"/>
              </w:rPr>
              <w:t xml:space="preserve"> 7、支持Type B单归属/双归属保护 /</w:t>
            </w:r>
          </w:p>
          <w:p>
            <w:pPr>
              <w:pStyle w:val="null3"/>
            </w:pPr>
            <w:r>
              <w:rPr>
                <w:rFonts w:ascii="仿宋_GB2312" w:hAnsi="仿宋_GB2312" w:cs="仿宋_GB2312" w:eastAsia="仿宋_GB2312"/>
                <w:sz w:val="21"/>
              </w:rPr>
              <w:t>支持10/100/1000 Mbit/s 接口速率自适应</w:t>
            </w:r>
            <w:r>
              <w:br/>
            </w:r>
            <w:r>
              <w:rPr>
                <w:rFonts w:ascii="仿宋_GB2312" w:hAnsi="仿宋_GB2312" w:cs="仿宋_GB2312" w:eastAsia="仿宋_GB2312"/>
                <w:sz w:val="21"/>
              </w:rPr>
              <w:t xml:space="preserve"> VLAN转换/VLAN透传</w:t>
            </w:r>
            <w:r>
              <w:br/>
            </w:r>
            <w:r>
              <w:rPr>
                <w:rFonts w:ascii="仿宋_GB2312" w:hAnsi="仿宋_GB2312" w:cs="仿宋_GB2312" w:eastAsia="仿宋_GB2312"/>
                <w:sz w:val="21"/>
              </w:rPr>
              <w:t xml:space="preserve"> 9、支持以太端口限速</w:t>
            </w:r>
            <w:r>
              <w:br/>
            </w:r>
            <w:r>
              <w:rPr>
                <w:rFonts w:ascii="仿宋_GB2312" w:hAnsi="仿宋_GB2312" w:cs="仿宋_GB2312" w:eastAsia="仿宋_GB2312"/>
                <w:sz w:val="21"/>
              </w:rPr>
              <w:t xml:space="preserve"> 10、802.1p 优先级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POE交换机：</w:t>
            </w:r>
          </w:p>
          <w:p>
            <w:pPr>
              <w:pStyle w:val="null3"/>
            </w:pPr>
            <w:r>
              <w:rPr>
                <w:rFonts w:ascii="仿宋_GB2312" w:hAnsi="仿宋_GB2312" w:cs="仿宋_GB2312" w:eastAsia="仿宋_GB2312"/>
                <w:sz w:val="21"/>
              </w:rPr>
              <w:t>1、24个千兆电口+2个千兆上联光口</w:t>
            </w:r>
          </w:p>
          <w:p>
            <w:pPr>
              <w:pStyle w:val="null3"/>
            </w:pPr>
            <w:r>
              <w:rPr>
                <w:rFonts w:ascii="仿宋_GB2312" w:hAnsi="仿宋_GB2312" w:cs="仿宋_GB2312" w:eastAsia="仿宋_GB2312"/>
                <w:sz w:val="21"/>
              </w:rPr>
              <w:t>2、24个口支持PoE/PoE+供电，最大PoE功率370W</w:t>
            </w:r>
          </w:p>
          <w:p>
            <w:pPr>
              <w:pStyle w:val="null3"/>
            </w:pPr>
            <w:r>
              <w:rPr>
                <w:rFonts w:ascii="仿宋_GB2312" w:hAnsi="仿宋_GB2312" w:cs="仿宋_GB2312" w:eastAsia="仿宋_GB2312"/>
                <w:sz w:val="21"/>
              </w:rPr>
              <w:t>交换机容量≥52Gbps，包转发率≥39Mpps</w:t>
            </w:r>
          </w:p>
          <w:p>
            <w:pPr>
              <w:pStyle w:val="null3"/>
            </w:pPr>
            <w:r>
              <w:rPr>
                <w:rFonts w:ascii="仿宋_GB2312" w:hAnsi="仿宋_GB2312" w:cs="仿宋_GB2312" w:eastAsia="仿宋_GB2312"/>
                <w:sz w:val="21"/>
              </w:rPr>
              <w:t>机架式。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AP：</w:t>
            </w:r>
          </w:p>
          <w:p>
            <w:pPr>
              <w:pStyle w:val="null3"/>
            </w:pPr>
            <w:r>
              <w:rPr>
                <w:rFonts w:ascii="仿宋_GB2312" w:hAnsi="仿宋_GB2312" w:cs="仿宋_GB2312" w:eastAsia="仿宋_GB2312"/>
                <w:sz w:val="21"/>
              </w:rPr>
              <w:t>1、2976M双频千兆吸顶AP；</w:t>
            </w:r>
          </w:p>
          <w:p>
            <w:pPr>
              <w:pStyle w:val="null3"/>
            </w:pPr>
            <w:r>
              <w:rPr>
                <w:rFonts w:ascii="仿宋_GB2312" w:hAnsi="仿宋_GB2312" w:cs="仿宋_GB2312" w:eastAsia="仿宋_GB2312"/>
                <w:sz w:val="21"/>
              </w:rPr>
              <w:t>2、1个千兆LAN口上联，内置天线；</w:t>
            </w:r>
          </w:p>
          <w:p>
            <w:pPr>
              <w:pStyle w:val="null3"/>
            </w:pPr>
            <w:r>
              <w:rPr>
                <w:rFonts w:ascii="仿宋_GB2312" w:hAnsi="仿宋_GB2312" w:cs="仿宋_GB2312" w:eastAsia="仿宋_GB2312"/>
                <w:sz w:val="21"/>
              </w:rPr>
              <w:t>3、支持2.4GHz/5GHz双频通信，支持802.11a/b/g/n/ac Wave1/Wave2/ax协议。支持AP与路由两种工作模式，支持二层智能漫游，支持睿易一体化组网，支持“睿易”APP管理。支持802.3at PoE供电和本地供电。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分光器：</w:t>
            </w:r>
          </w:p>
          <w:p>
            <w:pPr>
              <w:pStyle w:val="null3"/>
            </w:pPr>
            <w:r>
              <w:rPr>
                <w:rFonts w:ascii="仿宋_GB2312" w:hAnsi="仿宋_GB2312" w:cs="仿宋_GB2312" w:eastAsia="仿宋_GB2312"/>
                <w:sz w:val="21"/>
              </w:rPr>
              <w:t>光分路器</w:t>
            </w:r>
            <w:r>
              <w:rPr>
                <w:rFonts w:ascii="仿宋_GB2312" w:hAnsi="仿宋_GB2312" w:cs="仿宋_GB2312" w:eastAsia="仿宋_GB2312"/>
                <w:sz w:val="21"/>
              </w:rPr>
              <w:t>ODN  SC/UPC-单模-PLC-1:8-1310nm&amp;1490nm&amp;1550nm-1260nm-1650nm-均分-SC/UPC,SC/UPC-2mm-盒式封装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通信光缆：</w:t>
            </w:r>
            <w:r>
              <w:rPr>
                <w:rFonts w:ascii="仿宋_GB2312" w:hAnsi="仿宋_GB2312" w:cs="仿宋_GB2312" w:eastAsia="仿宋_GB2312"/>
                <w:sz w:val="21"/>
              </w:rPr>
              <w:t>中心管式单模轻铠装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电源维护更换：</w:t>
            </w:r>
            <w:r>
              <w:rPr>
                <w:rFonts w:ascii="仿宋_GB2312" w:hAnsi="仿宋_GB2312" w:cs="仿宋_GB2312" w:eastAsia="仿宋_GB2312"/>
                <w:sz w:val="21"/>
              </w:rPr>
              <w:t>12V2A MINI</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壁挂机柜：</w:t>
            </w:r>
            <w:r>
              <w:rPr>
                <w:rFonts w:ascii="仿宋_GB2312" w:hAnsi="仿宋_GB2312" w:cs="仿宋_GB2312" w:eastAsia="仿宋_GB2312"/>
                <w:sz w:val="21"/>
              </w:rPr>
              <w:t>10U玻璃门框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数字半球摄像机：</w:t>
            </w:r>
          </w:p>
          <w:p>
            <w:pPr>
              <w:pStyle w:val="null3"/>
            </w:pPr>
            <w:r>
              <w:rPr>
                <w:rFonts w:ascii="仿宋_GB2312" w:hAnsi="仿宋_GB2312" w:cs="仿宋_GB2312" w:eastAsia="仿宋_GB2312"/>
                <w:sz w:val="21"/>
              </w:rPr>
              <w:t>主码流帧率分辨率</w:t>
            </w:r>
          </w:p>
          <w:p>
            <w:pPr>
              <w:pStyle w:val="null3"/>
            </w:pPr>
            <w:r>
              <w:rPr>
                <w:rFonts w:ascii="仿宋_GB2312" w:hAnsi="仿宋_GB2312" w:cs="仿宋_GB2312" w:eastAsia="仿宋_GB2312"/>
                <w:sz w:val="21"/>
              </w:rPr>
              <w:t>50 Hz:25 fps (2560×1440,1920×1080,1280×960,1280×720),</w:t>
            </w:r>
          </w:p>
          <w:p>
            <w:pPr>
              <w:pStyle w:val="null3"/>
            </w:pPr>
            <w:r>
              <w:rPr>
                <w:rFonts w:ascii="仿宋_GB2312" w:hAnsi="仿宋_GB2312" w:cs="仿宋_GB2312" w:eastAsia="仿宋_GB2312"/>
                <w:sz w:val="21"/>
              </w:rPr>
              <w:t>60 Hz: 30 fps(2560×1440, 1920×1080,1280×960,1280×720)</w:t>
            </w:r>
          </w:p>
          <w:p>
            <w:pPr>
              <w:pStyle w:val="null3"/>
            </w:pPr>
            <w:r>
              <w:rPr>
                <w:rFonts w:ascii="仿宋_GB2312" w:hAnsi="仿宋_GB2312" w:cs="仿宋_GB2312" w:eastAsia="仿宋_GB2312"/>
                <w:sz w:val="21"/>
              </w:rPr>
              <w:t>支持 H.265/H.264 编码</w:t>
            </w:r>
          </w:p>
          <w:p>
            <w:pPr>
              <w:pStyle w:val="null3"/>
            </w:pPr>
            <w:r>
              <w:rPr>
                <w:rFonts w:ascii="仿宋_GB2312" w:hAnsi="仿宋_GB2312" w:cs="仿宋_GB2312" w:eastAsia="仿宋_GB2312"/>
                <w:sz w:val="21"/>
              </w:rPr>
              <w:t>供电：支持 DC12V 和 POE（802.3af/at）供电方式</w:t>
            </w:r>
          </w:p>
          <w:p>
            <w:pPr>
              <w:pStyle w:val="null3"/>
            </w:pPr>
            <w:r>
              <w:rPr>
                <w:rFonts w:ascii="仿宋_GB2312" w:hAnsi="仿宋_GB2312" w:cs="仿宋_GB2312" w:eastAsia="仿宋_GB2312"/>
                <w:sz w:val="21"/>
              </w:rPr>
              <w:t>支持 3D降噪、120dB宽动态、强光抑制、背光补偿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硬盘：</w:t>
            </w:r>
            <w:r>
              <w:rPr>
                <w:rFonts w:ascii="仿宋_GB2312" w:hAnsi="仿宋_GB2312" w:cs="仿宋_GB2312" w:eastAsia="仿宋_GB2312"/>
                <w:sz w:val="21"/>
              </w:rPr>
              <w:t>监控专用</w:t>
            </w:r>
            <w:r>
              <w:rPr>
                <w:rFonts w:ascii="仿宋_GB2312" w:hAnsi="仿宋_GB2312" w:cs="仿宋_GB2312" w:eastAsia="仿宋_GB2312"/>
                <w:sz w:val="21"/>
              </w:rPr>
              <w:t>6T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注：注明单项</w:t>
            </w:r>
            <w:r>
              <w:rPr>
                <w:rFonts w:ascii="仿宋_GB2312" w:hAnsi="仿宋_GB2312" w:cs="仿宋_GB2312" w:eastAsia="仿宋_GB2312"/>
              </w:rPr>
              <w:t>预算金额</w:t>
            </w:r>
            <w:r>
              <w:rPr>
                <w:rFonts w:ascii="仿宋_GB2312" w:hAnsi="仿宋_GB2312" w:cs="仿宋_GB2312" w:eastAsia="仿宋_GB2312"/>
              </w:rPr>
              <w:t>的，该分项报价不得超过单项</w:t>
            </w:r>
            <w:r>
              <w:rPr>
                <w:rFonts w:ascii="仿宋_GB2312" w:hAnsi="仿宋_GB2312" w:cs="仿宋_GB2312" w:eastAsia="仿宋_GB2312"/>
              </w:rPr>
              <w:t>预算金额。</w:t>
            </w:r>
          </w:p>
          <w:tbl>
            <w:tblPr>
              <w:tblBorders>
                <w:top w:val="none" w:color="000000" w:sz="4"/>
                <w:left w:val="none" w:color="000000" w:sz="4"/>
                <w:bottom w:val="none" w:color="000000" w:sz="4"/>
                <w:right w:val="none" w:color="000000" w:sz="4"/>
                <w:insideH w:val="none"/>
                <w:insideV w:val="none"/>
              </w:tblBorders>
            </w:tblPr>
            <w:tblGrid>
              <w:gridCol w:w="265"/>
              <w:gridCol w:w="498"/>
              <w:gridCol w:w="355"/>
              <w:gridCol w:w="858"/>
              <w:gridCol w:w="561"/>
            </w:tblGrid>
            <w:tr>
              <w:tc>
                <w:tcPr>
                  <w:tcW w:type="dxa" w:w="265"/>
                  <w:tcBorders>
                    <w:top w:val="none" w:color="000000" w:sz="4"/>
                    <w:left w:val="single" w:color="A5A5A5"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rPr>
                    <w:t>序号</w:t>
                  </w:r>
                </w:p>
              </w:tc>
              <w:tc>
                <w:tcPr>
                  <w:tcW w:type="dxa" w:w="498"/>
                  <w:tcBorders>
                    <w:top w:val="none" w:color="000000" w:sz="4"/>
                    <w:left w:val="single" w:color="C8C8C8"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rPr>
                    <w:t>货物名称</w:t>
                  </w:r>
                </w:p>
              </w:tc>
              <w:tc>
                <w:tcPr>
                  <w:tcW w:type="dxa" w:w="355"/>
                  <w:tcBorders>
                    <w:top w:val="none" w:color="000000" w:sz="4"/>
                    <w:left w:val="single" w:color="C8C8C8" w:sz="4"/>
                    <w:bottom w:val="single" w:color="A5A5A5" w:sz="4"/>
                    <w:right w:val="none" w:color="000000"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rPr>
                    <w:t>数量</w:t>
                  </w:r>
                </w:p>
              </w:tc>
              <w:tc>
                <w:tcPr>
                  <w:tcW w:type="dxa" w:w="858"/>
                  <w:tcBorders>
                    <w:top w:val="none" w:color="000000" w:sz="4"/>
                    <w:left w:val="single" w:color="C8C8C8" w:sz="4"/>
                    <w:bottom w:val="single" w:color="A5A5A5" w:sz="4"/>
                    <w:right w:val="single" w:color="A5A5A5"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rPr>
                    <w:t>规格</w:t>
                  </w:r>
                </w:p>
              </w:tc>
              <w:tc>
                <w:tcPr>
                  <w:tcW w:type="dxa" w:w="561"/>
                  <w:tcBorders>
                    <w:top w:val="none" w:color="000000" w:sz="4"/>
                    <w:left w:val="none" w:color="000000" w:sz="4"/>
                    <w:bottom w:val="single" w:color="A5A5A5" w:sz="4"/>
                    <w:right w:val="single" w:color="A5A5A5" w:sz="4"/>
                  </w:tcBorders>
                  <w:shd w:fill="A5A5A5"/>
                  <w:tcMar>
                    <w:top w:type="dxa" w:w="0"/>
                    <w:left w:type="dxa" w:w="105"/>
                    <w:bottom w:type="dxa" w:w="0"/>
                    <w:right w:type="dxa" w:w="105"/>
                  </w:tcMar>
                  <w:vAlign w:val="top"/>
                </w:tcPr>
                <w:p>
                  <w:pPr>
                    <w:pStyle w:val="null3"/>
                    <w:jc w:val="center"/>
                  </w:pPr>
                  <w:r>
                    <w:rPr>
                      <w:rFonts w:ascii="仿宋_GB2312" w:hAnsi="仿宋_GB2312" w:cs="仿宋_GB2312" w:eastAsia="仿宋_GB2312"/>
                    </w:rPr>
                    <w:t>单项预算金额（元）</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POL全光网络终端(核心产品)</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支持</w:t>
                  </w:r>
                  <w:r>
                    <w:rPr>
                      <w:rFonts w:ascii="仿宋_GB2312" w:hAnsi="仿宋_GB2312" w:cs="仿宋_GB2312" w:eastAsia="仿宋_GB2312"/>
                    </w:rPr>
                    <w:t>GPON、XG-PON、XGS-PON、50G PON、P2P 10GE/GE</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45700.00</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全光网络接入单元</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30台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1*GPON+4*GE</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3</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核心交换机</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28个10/100/1000M自适应电口，4个复用SFP光口，4个SFP+光口</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11520.00</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4</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POE交换机</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25台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24个千兆电口+2个千兆上联光口</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5</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AP</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75台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2976M双频千兆</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6</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分光器</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10台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8/1</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7</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通信光缆</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2000米</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GYTA-12B1</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8</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LED显示屏1</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10.75㎡</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P10 3s</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26875.00</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9</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LED显示屏2</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12㎡</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P10 3s</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30000.00</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10</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电源维护更换</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160台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12 v2A</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11</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壁挂机柜</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5个</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10u</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12</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数字半球摄像机</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50台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400W</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13</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录像机</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5台</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32路</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32750.00</w:t>
                  </w: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14</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硬盘</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12块</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6T</w:t>
                  </w: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r>
            <w:tr>
              <w:tc>
                <w:tcPr>
                  <w:tcW w:type="dxa" w:w="26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15</w:t>
                  </w:r>
                </w:p>
              </w:tc>
              <w:tc>
                <w:tcPr>
                  <w:tcW w:type="dxa" w:w="49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安装调试费</w:t>
                  </w:r>
                </w:p>
              </w:tc>
              <w:tc>
                <w:tcPr>
                  <w:tcW w:type="dxa" w:w="355"/>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r>
                    <w:rPr>
                      <w:rFonts w:ascii="仿宋_GB2312" w:hAnsi="仿宋_GB2312" w:cs="仿宋_GB2312" w:eastAsia="仿宋_GB2312"/>
                    </w:rPr>
                    <w:t>1项</w:t>
                  </w:r>
                </w:p>
              </w:tc>
              <w:tc>
                <w:tcPr>
                  <w:tcW w:type="dxa" w:w="858"/>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pPr>
                    <w:pStyle w:val="null3"/>
                    <w:jc w:val="center"/>
                  </w:pPr>
                </w:p>
              </w:tc>
              <w:tc>
                <w:tcPr>
                  <w:tcW w:type="dxa" w:w="561"/>
                  <w:tcBorders>
                    <w:top w:val="none" w:color="000000" w:sz="4"/>
                    <w:left w:val="single" w:color="C8C8C8" w:sz="4"/>
                    <w:bottom w:val="single" w:color="C8C8C8" w:sz="4"/>
                    <w:right w:val="single" w:color="C8C8C8" w:sz="4"/>
                  </w:tcBorders>
                  <w:shd w:fill="ECECEC"/>
                  <w:tcMar>
                    <w:top w:type="dxa" w:w="0"/>
                    <w:left w:type="dxa" w:w="105"/>
                    <w:bottom w:type="dxa" w:w="0"/>
                    <w:right w:type="dxa" w:w="105"/>
                  </w:tcMar>
                  <w:vAlign w:val="top"/>
                </w:tc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物资配送：合同签订后，按采购人指定时间，将全部项目物资安全配送至指定地点。 2. 安装调试：负责项目所有设备的现场安装、系统联调及功能测试，确保网络、监控全部功能正常实现。 3. 工期保障：严格按照采购人要求的工期完成改造，施工期间尽量减少对正常教学、办公的影响。 4. 售后支持：提供质保期内的免费维修、更换服务，质保期外提供优惠的维保方案及技术支持。 5. 技术培训：为采购人相关人员提供系统操作、日常维护的专业培训，确保人员熟练掌握使用方法。</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在合同执行过程中需要供应商应执行的伴随服务的服务标准或应当履行的相关义务。 （一）、网络系统验收 1. 网络连通性：所有信息点、交换机端口均需正常连通，无丢包、无中断，网络时延与丢包率符合设计标准。 2. 带宽性能：核心及汇聚交换机吞吐量、端口速率需达标，实测带宽满足全场景教学、办公并发使用需求。 3. 传输规范：光缆、网线等传输介质敷设规范，无破损、无扭曲，熔接损耗等指标符合行业标准。 （二）、监控的系统验收 1. 图像质量：摄像头清晰成像，分辨率、帧率达标，夜间补光效果正常，无模糊、卡顿、偏色问题。 2. 存储与回放：录像存储时长满足要求，回放流畅、完整，无丢失、无帧丢失，时间与画面同步准确。 3. 设备运行：监控主机、解码器等设备运行稳定，无死机、无报错，与摄像头通信正常，控制指令响应及时。 （三）、施工与管理验收 1. 施工规范：线缆走线整齐、标识清晰，设备安装牢固、位置合理，符合校园安全与施工规范。 2. 资料完整：提供完整的竣工资料，含设备清单、测试报告、操作手册等，便于后续维护。 3. 功能达标：系统整体功能符合合同及设计要求，经甲方现场测试，所有功能均正常可用。 （四）、产品质保期 质保24个月 （五）、违约责任 1.供应商未按合同约定时间交付的，每逾期1日，按合同总价款的0.5%向采购人支付违约金；逾期超过10日的，采购人有权解除合同，并赔偿采购人合同总价款10%的违约金。 2.采购人未按合同约定支付货款的，每逾期1日，按应付未付金额的0.5%向供应商支付违约金。 3.本条款约定的违约金总额不得超过合同总价款的20%，若违约金不足以弥补实际损失的，违约方需补足差额。</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（一）项目概况：西安市第八保育院老教学楼因使用年限较长，现有网络与视频监控出现多项运行故障，严重影响日常教学、办公及校园安全管理，具体问题如下： 老区教学楼因使用年限较长，现有网络与视频监控出现多项运行故障，严重影响日常教学、办公及校园安全管理，具体问题如下： 1. 视频监控隐患：一是监控画面频繁卡顿、信号掉线，无法实时清晰传输监控画面，存在校园安全监控管理漏洞，无法满足校园安防需求；二是监控硬盘部分出现故障，数据存储与调取功能受影响，安防数据安全性无法保障。 2. 班级教室无线网络问题：部分班级教室无线信号覆盖弱、稳定性差，教职工连接网络困难，直接影响教育教学活动开展及日常办公需求。 3. 办公网络运行故障：办公网络运行不稳定，导致办公文件传输、日常办公受阻，办公效率降低。 4. 配套设备老化问题：院门口两处LED显示屏使用年限过久，设备老化严重，维修成本持续增高且效果不佳。 5. 搭建高效、稳定、可扩展的全光网络架构，适配校园未来多业务发展需求。 （二）商务要求： 1.★工期：自合同签订之日起30个日历日内完成全部物资的供货、配送、安装调试，并交付采购人验收合格。 2.★交货安装地点：西安市第八保育院。 3.款项结算 （1）首期付款 LED屏及无线AP改造工程施工完毕并经采购人验收合格后，在收到合规发票之日起10个工作日内，采购人向乙方支付相关费用。 （2）尾款付款 所有项目完成安装、调试，经采购人整体验收合格后，乙方开具符合国家规定的等额合规发票。采购人在收到合规发票之日起10个工作日内，一次性支付剩余金额。 4.发票要求：供应商需按国家相关规定提供合法、有效的增值税普通发票/专用发票。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磋商截止时间当月不计入）的缴费凭据或税务机关出具的完税证明或（在法规范围内不需提供的应出具书面说明和证明文件）；/或具有依法缴纳税收的诚信声明；以上二种形式的资料提供任何一种即可。 3.具有依法缴纳社会保障资金的良好记录。提供缴费所属日期为磋商截止时间前12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 4.具有履行合同所必需的设备和专业技术能力。提供声明文件；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至今任意一年度经审计的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小微企业采购（监狱企业及残疾人企业视为小、微企业）。仅限符合《政府采购促进中小企业发展暂行办法》（财库〔2020〕46号）条件的小微企业参与，供应商应填写中小企业声明函并对真实性负责；若供应商为残疾人福利性单位的，提供《残疾人福利性单位声明函》；若供应商为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提供法定代表人授权书(附法定代表人、被授权人身份证复印件)或提供法定代表人身份证明及身份证复印件（法定代表人直接参加磋商)。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1.供应商具备电子与智能化工程专业承包二级及以上和有效的安全生产许可证。 2.供应商拟派项目经理具备机电工程专业二级及以上注册建造师资格证书，并具有合法有效的安全生产考核合格证（建安B证），未担任其他在施建设工程项目的项目经理。</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1.响应报价是否存在异常低价，涉嫌不正当竞争； 磋商小组认为供应商的报价明显低于其他通过符合性审查供应商的报价，有可能影响服务质量或者不能诚信履约的，将要求其在磋商现场合理的时间内提供书面说明，必要时提交相关证明材料；供应商不能证明其报价合理性的，磋商小组应当将其作为无效响应处理。 1.1政府采购评审中出现下列情形之一的，评审委员会应当启动异常低价投标(响应)审查程序： 1）投标(响应)报价低于全部通过符合性审查供应商投标(响应)报价平均值50%的，即 投标(响应)报价&lt;全部通过符合性审查供应商投标(响应)报价平均值×50%; 2）投标(响应)报价低于通过符合性审查的次低报价供应商投标(响应)报价50%的，即 投标(响应)报价&lt;通过符合性审查的次低报价供应商投标(响应)报价×50%; 3）投标(响应)报价低于采购项目最高限价45%的，即投标(响应)报价&lt;采购项目最高 限价×45%; 4）评审委员会基于专业判断，认为供应商报价过低，有可能影响产品质量或者不能诚信 履约的其他情形。 1.2评审委员会启动异常低价投标(响应)审查后，属于前述第1项至第4项情形的，应当要求相关供应商在评审现场合理的时间内对投标(响应)价格作出解释，提供项目具体成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响应处理。 2.书面说明应当按照国家财务会计制度的规定要求，逐项就供应商提供的货物、工程和服务的主营业务成本（应根据供应商企业类型予以区别）、税金及附加、销售费用、管理费用、财务费用等成本构成事项详细陈述。 3.供应商提交的相关说明和证明材料，应当加盖供应商（法定名称）电子印章，在磋商小组要求的时间内通过项目电子化交易系统进行提交，否则提交的相关证明材料无效。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报价函 标的清单 响应函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 1）是否按磋商文件要求完整报价、无缺漏项； 2）磋商响应文件构成是否完整，即是否按磋商文件要求提供了完整的磋商响应文件； 3）磋商文件要求提供的其他内容（如有）。</w:t>
            </w:r>
          </w:p>
        </w:tc>
        <w:tc>
          <w:tcPr>
            <w:tcW w:type="dxa" w:w="1661"/>
          </w:tcPr>
          <w:p>
            <w:pPr>
              <w:pStyle w:val="null3"/>
            </w:pPr>
            <w:r>
              <w:rPr>
                <w:rFonts w:ascii="仿宋_GB2312" w:hAnsi="仿宋_GB2312" w:cs="仿宋_GB2312" w:eastAsia="仿宋_GB2312"/>
              </w:rPr>
              <w:t>响应文件封面 技术方案.docx 中小企业声明函 残疾人福利性单位声明函 技术服务合同条款及其他商务要求应答表 响应函 监狱企业的证明文件 报价明细表.docx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技术方案.docx 中小企业声明函 残疾人福利性单位声明函 技术服务合同条款及其他商务要求应答表 响应函 监狱企业的证明文件 报价明细表.docx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技术方案.docx 中小企业声明函 残疾人福利性单位声明函 技术服务合同条款及其他商务要求应答表 响应函 监狱企业的证明文件 报价明细表.docx 资格证明资料.docx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为保证设备设施的最终使用效果及施工进度，投标人应制定有整体施工、安装、调试方案。内容包括：①总体施工方案及主要施工工艺、流程；②项目管理及技术力量配备；③安全管理体系与措施；④人、材、机供应计划；⑤文明施工、环境保护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3、赋分标准：每一项评审内容满足每项评审标准的得3分，最多得15分。每一项内容相对每一项评审标准存在一处漏洞或缺陷扣1-2分，每项3分扣完为止。未提供相关评审内容的，该项得0分。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 4.未提供此项内容的得0分。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供应商针对本项目提供质量保证措施，内容需考虑结合项目实际，能够切实保证服务质量 1、评审内容:①质量管理目标；②质量管理职责与分工；③质量管理制度。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供应商针对本项目提供进度计划及保障措施，需充分考虑项目实际，保证措施内容全面、具体、可行、科学合理，能够切实保障服务进度满足采购需求。 评审内容： ①进度计划及控制措施； ②各阶段任务分解及进度安排； ③关键节点控制。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3、赋分标准：每一项评审内容满足每-项评审标准的得3分，最多得9分。每一项内容相对每一项评审标准存在一处漏洞或缺陷扣1-2分，每项3分扣完为止。未提供相关评审内容的，该项得0分。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1.评审内容： 根据项目实际需求提供售后服务方案。内容包含：①售后服务范围及保障措施②响应时间及售后服务便利措施③售后服务人员配置④故障处理及补救措施。 2、评审标准： ①全面性:内容完整、全面，包括所有评审内容，无遗漏; ②详细性:内容详细,针对每一评审内容能够有明确具体的描述和说明; ③合理性:内容合理,准确，符合项目实际情况，有利于该计划的实施。 3、赋分标准：每一项评审内容满足每-项评审标准的得2分，最多得8分。每一项内容相对每一项评审标准存在一处漏洞或缺陷扣0.1-1分，每项2分扣完为止。未提供相关评审内容的，该项得0分。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技术参数与性能指标</w:t>
            </w:r>
          </w:p>
        </w:tc>
        <w:tc>
          <w:tcPr>
            <w:tcW w:type="dxa" w:w="2492"/>
          </w:tcPr>
          <w:p>
            <w:pPr>
              <w:pStyle w:val="null3"/>
            </w:pPr>
            <w:r>
              <w:rPr>
                <w:rFonts w:ascii="仿宋_GB2312" w:hAnsi="仿宋_GB2312" w:cs="仿宋_GB2312" w:eastAsia="仿宋_GB2312"/>
              </w:rPr>
              <w:t>磋商文件第三章 “产品参数”全部满足磋商文件要求得11分，每有一项不满足或低于磋商文件要求扣1分，11分扣完为止。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供应商所投产品中具有经国家确定的认证机构出具的、处于有效期之内的环境标志产品或节能产品认证证书，每有1个有效证书得0.5分，最多1分。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1.供应商具有 2022 年 1 月至今的类似业绩（以合同签订时间为准），每提供一个得 2 分，满分 6 分。 评审依据：以响应文件中加盖供应商公章的合同复印件为准。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拟派项目团队人员不少于5人，得基本分5分。团队中安全生产管理人员（建安A,B,C证）每增加一人增加2分，最高得6分。 评审依据：以响应文件中加盖供应商公章的团队人员职称证书复印件为准。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满足采购文件要求且最终响应报价最低的报价为评审基准价，其价格分为满分。其他供应商的价格分统一按照下列公式计算：响应报价得分=(评审基准价÷评审价)×30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详见附件：合同文本J.docx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