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FD963">
      <w:pPr>
        <w:spacing w:line="360" w:lineRule="auto"/>
        <w:jc w:val="center"/>
        <w:rPr>
          <w:rFonts w:hint="eastAsia" w:ascii="宋体" w:hAnsi="宋体" w:eastAsia="宋体" w:cs="Times New Roman"/>
          <w:b/>
          <w:bCs/>
          <w:sz w:val="52"/>
          <w:szCs w:val="52"/>
          <w:highlight w:val="none"/>
        </w:rPr>
      </w:pPr>
      <w:bookmarkStart w:id="0" w:name="_GoBack"/>
    </w:p>
    <w:p w14:paraId="4E0C9206">
      <w:pPr>
        <w:spacing w:line="360" w:lineRule="auto"/>
        <w:jc w:val="center"/>
        <w:rPr>
          <w:rFonts w:hint="eastAsia" w:ascii="宋体" w:hAnsi="宋体" w:eastAsia="宋体" w:cs="Times New Roman"/>
          <w:b/>
          <w:bCs/>
          <w:sz w:val="52"/>
          <w:szCs w:val="52"/>
          <w:highlight w:val="none"/>
        </w:rPr>
      </w:pPr>
      <w:r>
        <w:rPr>
          <w:rFonts w:hint="eastAsia" w:ascii="宋体" w:hAnsi="宋体" w:eastAsia="宋体" w:cs="Times New Roman"/>
          <w:b/>
          <w:bCs/>
          <w:sz w:val="52"/>
          <w:szCs w:val="52"/>
          <w:highlight w:val="none"/>
        </w:rPr>
        <w:t>西安市中心血站</w:t>
      </w:r>
      <w:r>
        <w:rPr>
          <w:rFonts w:ascii="宋体" w:hAnsi="宋体" w:eastAsia="宋体" w:cs="Times New Roman"/>
          <w:b/>
          <w:bCs/>
          <w:sz w:val="52"/>
          <w:szCs w:val="52"/>
          <w:highlight w:val="none"/>
        </w:rPr>
        <w:t>献血宣传活动策划执行采购项目</w:t>
      </w:r>
    </w:p>
    <w:p w14:paraId="117E3A12">
      <w:pPr>
        <w:spacing w:line="360" w:lineRule="auto"/>
        <w:rPr>
          <w:rFonts w:hint="eastAsia" w:ascii="宋体" w:hAnsi="宋体" w:eastAsia="宋体" w:cs="Times New Roman"/>
          <w:b/>
          <w:bCs/>
          <w:sz w:val="13"/>
          <w:szCs w:val="13"/>
          <w:highlight w:val="none"/>
        </w:rPr>
      </w:pPr>
    </w:p>
    <w:p w14:paraId="4E86767D">
      <w:pPr>
        <w:spacing w:line="360" w:lineRule="auto"/>
        <w:jc w:val="center"/>
        <w:rPr>
          <w:rFonts w:hint="eastAsia" w:ascii="宋体" w:hAnsi="宋体" w:eastAsia="宋体" w:cs="Times New Roman"/>
          <w:b/>
          <w:bCs/>
          <w:sz w:val="84"/>
          <w:szCs w:val="84"/>
          <w:highlight w:val="none"/>
        </w:rPr>
      </w:pPr>
      <w:r>
        <w:rPr>
          <w:rFonts w:ascii="宋体" w:hAnsi="宋体" w:eastAsia="宋体" w:cs="Times New Roman"/>
          <w:b/>
          <w:bCs/>
          <w:sz w:val="84"/>
          <w:szCs w:val="84"/>
          <w:highlight w:val="none"/>
        </w:rPr>
        <w:t>服务合同</w:t>
      </w:r>
    </w:p>
    <w:p w14:paraId="0A3EF259">
      <w:pPr>
        <w:spacing w:line="360" w:lineRule="auto"/>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(参照合同，具体以双方签订为准)</w:t>
      </w:r>
    </w:p>
    <w:p w14:paraId="1EF2A55E">
      <w:pPr>
        <w:spacing w:line="360" w:lineRule="auto"/>
        <w:jc w:val="center"/>
        <w:rPr>
          <w:rFonts w:hint="eastAsia" w:ascii="宋体" w:hAnsi="宋体" w:eastAsia="宋体" w:cs="Times New Roman"/>
          <w:b/>
          <w:bCs/>
          <w:sz w:val="32"/>
          <w:szCs w:val="32"/>
          <w:highlight w:val="none"/>
          <w:lang w:eastAsia="zh-CN"/>
        </w:rPr>
      </w:pPr>
      <w:r>
        <w:rPr>
          <w:rFonts w:ascii="宋体" w:hAnsi="宋体" w:eastAsia="宋体" w:cs="Times New Roman"/>
          <w:b/>
          <w:bCs/>
          <w:sz w:val="32"/>
          <w:szCs w:val="32"/>
          <w:highlight w:val="none"/>
        </w:rPr>
        <w:t>项目编号：</w:t>
      </w:r>
      <w:r>
        <w:rPr>
          <w:rFonts w:hint="eastAsia" w:ascii="宋体" w:hAnsi="宋体" w:eastAsia="宋体" w:cs="Times New Roman"/>
          <w:b/>
          <w:bCs/>
          <w:sz w:val="32"/>
          <w:szCs w:val="32"/>
          <w:highlight w:val="none"/>
          <w:lang w:val="en-US" w:eastAsia="zh-CN"/>
        </w:rPr>
        <w:t xml:space="preserve"> </w:t>
      </w:r>
    </w:p>
    <w:p w14:paraId="737A2121">
      <w:pPr>
        <w:spacing w:line="360" w:lineRule="auto"/>
        <w:ind w:firstLine="480" w:firstLineChars="200"/>
        <w:rPr>
          <w:rFonts w:hint="eastAsia" w:ascii="宋体" w:hAnsi="宋体" w:eastAsia="宋体" w:cs="Times New Roman"/>
          <w:sz w:val="24"/>
          <w:szCs w:val="24"/>
          <w:highlight w:val="none"/>
        </w:rPr>
      </w:pPr>
    </w:p>
    <w:p w14:paraId="2DFBC0AC">
      <w:pPr>
        <w:spacing w:line="360" w:lineRule="auto"/>
        <w:rPr>
          <w:rFonts w:hint="eastAsia" w:ascii="宋体" w:hAnsi="宋体" w:eastAsia="宋体" w:cs="Times New Roman"/>
          <w:sz w:val="24"/>
          <w:szCs w:val="24"/>
          <w:highlight w:val="none"/>
        </w:rPr>
      </w:pPr>
    </w:p>
    <w:p w14:paraId="0D607D69">
      <w:pPr>
        <w:spacing w:line="360" w:lineRule="auto"/>
        <w:rPr>
          <w:rFonts w:hint="eastAsia" w:ascii="宋体" w:hAnsi="宋体" w:eastAsia="宋体" w:cs="Times New Roman"/>
          <w:sz w:val="24"/>
          <w:szCs w:val="24"/>
          <w:highlight w:val="none"/>
        </w:rPr>
      </w:pPr>
    </w:p>
    <w:p w14:paraId="405812F0">
      <w:pPr>
        <w:spacing w:line="360" w:lineRule="auto"/>
        <w:rPr>
          <w:rFonts w:hint="eastAsia" w:ascii="宋体" w:hAnsi="宋体" w:eastAsia="宋体" w:cs="Times New Roman"/>
          <w:sz w:val="24"/>
          <w:szCs w:val="24"/>
          <w:highlight w:val="none"/>
        </w:rPr>
      </w:pPr>
    </w:p>
    <w:p w14:paraId="3180B2F6">
      <w:pPr>
        <w:spacing w:line="360" w:lineRule="auto"/>
        <w:rPr>
          <w:rFonts w:hint="eastAsia" w:ascii="宋体" w:hAnsi="宋体" w:eastAsia="宋体" w:cs="Times New Roman"/>
          <w:sz w:val="24"/>
          <w:szCs w:val="24"/>
          <w:highlight w:val="none"/>
        </w:rPr>
      </w:pPr>
    </w:p>
    <w:p w14:paraId="493A05B5">
      <w:pPr>
        <w:spacing w:line="360" w:lineRule="auto"/>
        <w:rPr>
          <w:rFonts w:hint="eastAsia" w:ascii="宋体" w:hAnsi="宋体" w:eastAsia="宋体" w:cs="Times New Roman"/>
          <w:sz w:val="24"/>
          <w:szCs w:val="24"/>
          <w:highlight w:val="none"/>
        </w:rPr>
      </w:pPr>
    </w:p>
    <w:p w14:paraId="64A4D660">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 xml:space="preserve"> </w:t>
      </w:r>
    </w:p>
    <w:p w14:paraId="36330C8D">
      <w:pPr>
        <w:spacing w:line="360" w:lineRule="auto"/>
        <w:ind w:firstLine="2127" w:firstLineChars="662"/>
        <w:rPr>
          <w:rFonts w:hint="eastAsia" w:ascii="宋体" w:hAnsi="宋体" w:eastAsia="宋体" w:cs="Times New Roman"/>
          <w:b/>
          <w:bCs/>
          <w:sz w:val="32"/>
          <w:szCs w:val="32"/>
          <w:highlight w:val="none"/>
          <w:u w:val="single"/>
        </w:rPr>
      </w:pPr>
      <w:r>
        <w:rPr>
          <w:rFonts w:ascii="宋体" w:hAnsi="宋体" w:eastAsia="宋体" w:cs="Times New Roman"/>
          <w:b/>
          <w:bCs/>
          <w:sz w:val="32"/>
          <w:szCs w:val="32"/>
          <w:highlight w:val="none"/>
        </w:rPr>
        <w:t>采购人：</w:t>
      </w:r>
      <w:r>
        <w:rPr>
          <w:rFonts w:hint="eastAsia" w:ascii="宋体" w:hAnsi="宋体" w:eastAsia="宋体" w:cs="Times New Roman"/>
          <w:b/>
          <w:bCs/>
          <w:sz w:val="32"/>
          <w:szCs w:val="32"/>
          <w:highlight w:val="none"/>
          <w:u w:val="single"/>
        </w:rPr>
        <w:t xml:space="preserve">    </w:t>
      </w:r>
      <w:r>
        <w:rPr>
          <w:rFonts w:ascii="宋体" w:hAnsi="宋体" w:eastAsia="宋体" w:cs="Times New Roman"/>
          <w:b/>
          <w:bCs/>
          <w:sz w:val="32"/>
          <w:szCs w:val="32"/>
          <w:highlight w:val="none"/>
          <w:u w:val="single"/>
        </w:rPr>
        <w:t>西安市中心血站</w:t>
      </w:r>
      <w:r>
        <w:rPr>
          <w:rFonts w:hint="eastAsia" w:ascii="宋体" w:hAnsi="宋体" w:eastAsia="宋体" w:cs="Times New Roman"/>
          <w:b/>
          <w:bCs/>
          <w:sz w:val="32"/>
          <w:szCs w:val="32"/>
          <w:highlight w:val="none"/>
          <w:u w:val="single"/>
        </w:rPr>
        <w:t xml:space="preserve">    </w:t>
      </w:r>
    </w:p>
    <w:p w14:paraId="3E557703">
      <w:pPr>
        <w:spacing w:line="360" w:lineRule="auto"/>
        <w:ind w:firstLine="2127" w:firstLineChars="662"/>
        <w:rPr>
          <w:rFonts w:hint="eastAsia" w:ascii="宋体" w:hAnsi="宋体" w:eastAsia="宋体" w:cs="Times New Roman"/>
          <w:b/>
          <w:bCs/>
          <w:sz w:val="32"/>
          <w:szCs w:val="32"/>
          <w:highlight w:val="none"/>
        </w:rPr>
      </w:pPr>
    </w:p>
    <w:p w14:paraId="71C8BF0D">
      <w:pPr>
        <w:spacing w:line="360" w:lineRule="auto"/>
        <w:ind w:firstLine="2127" w:firstLineChars="662"/>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服务方：</w:t>
      </w:r>
      <w:r>
        <w:rPr>
          <w:rFonts w:hint="eastAsia" w:ascii="宋体" w:hAnsi="宋体" w:eastAsia="宋体" w:cs="Times New Roman"/>
          <w:b/>
          <w:bCs/>
          <w:sz w:val="32"/>
          <w:szCs w:val="32"/>
          <w:highlight w:val="none"/>
          <w:u w:val="single"/>
        </w:rPr>
        <w:t xml:space="preserve">                      </w:t>
      </w:r>
    </w:p>
    <w:p w14:paraId="41B99F9B">
      <w:pPr>
        <w:spacing w:line="360" w:lineRule="auto"/>
        <w:ind w:firstLine="643" w:firstLineChars="200"/>
        <w:rPr>
          <w:rFonts w:hint="eastAsia" w:ascii="宋体" w:hAnsi="宋体" w:eastAsia="宋体" w:cs="Times New Roman"/>
          <w:b/>
          <w:bCs/>
          <w:sz w:val="32"/>
          <w:szCs w:val="32"/>
          <w:highlight w:val="none"/>
        </w:rPr>
      </w:pPr>
    </w:p>
    <w:p w14:paraId="72AFE1BC">
      <w:pPr>
        <w:spacing w:line="360" w:lineRule="auto"/>
        <w:ind w:firstLine="643" w:firstLineChars="200"/>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二〇二</w:t>
      </w:r>
      <w:r>
        <w:rPr>
          <w:rFonts w:hint="eastAsia" w:ascii="宋体" w:hAnsi="宋体" w:eastAsia="宋体" w:cs="Times New Roman"/>
          <w:b/>
          <w:bCs/>
          <w:sz w:val="32"/>
          <w:szCs w:val="32"/>
          <w:highlight w:val="none"/>
          <w:lang w:val="en-US" w:eastAsia="zh-CN"/>
        </w:rPr>
        <w:t>六</w:t>
      </w:r>
      <w:r>
        <w:rPr>
          <w:rFonts w:ascii="宋体" w:hAnsi="宋体" w:eastAsia="宋体" w:cs="Times New Roman"/>
          <w:b/>
          <w:bCs/>
          <w:sz w:val="32"/>
          <w:szCs w:val="32"/>
          <w:highlight w:val="none"/>
        </w:rPr>
        <w:t>年</w:t>
      </w:r>
      <w:r>
        <w:rPr>
          <w:rFonts w:hint="eastAsia" w:ascii="宋体" w:hAnsi="宋体" w:eastAsia="宋体" w:cs="Times New Roman"/>
          <w:b/>
          <w:bCs/>
          <w:sz w:val="32"/>
          <w:szCs w:val="32"/>
          <w:highlight w:val="none"/>
        </w:rPr>
        <w:t xml:space="preserve">  </w:t>
      </w:r>
      <w:r>
        <w:rPr>
          <w:rFonts w:ascii="宋体" w:hAnsi="宋体" w:eastAsia="宋体" w:cs="Times New Roman"/>
          <w:b/>
          <w:bCs/>
          <w:sz w:val="32"/>
          <w:szCs w:val="32"/>
          <w:highlight w:val="none"/>
        </w:rPr>
        <w:t>月</w:t>
      </w:r>
      <w:r>
        <w:rPr>
          <w:rFonts w:ascii="宋体" w:hAnsi="宋体" w:eastAsia="宋体" w:cs="Times New Roman"/>
          <w:b/>
          <w:bCs/>
          <w:sz w:val="32"/>
          <w:szCs w:val="32"/>
          <w:highlight w:val="none"/>
        </w:rPr>
        <w:tab/>
      </w:r>
      <w:r>
        <w:rPr>
          <w:rFonts w:ascii="宋体" w:hAnsi="宋体" w:eastAsia="宋体" w:cs="Times New Roman"/>
          <w:b/>
          <w:bCs/>
          <w:sz w:val="32"/>
          <w:szCs w:val="32"/>
          <w:highlight w:val="none"/>
        </w:rPr>
        <w:t>日</w:t>
      </w:r>
    </w:p>
    <w:p w14:paraId="0C7DB625">
      <w:pPr>
        <w:spacing w:line="360" w:lineRule="auto"/>
        <w:ind w:firstLine="480" w:firstLineChars="200"/>
        <w:rPr>
          <w:rFonts w:hint="eastAsia" w:ascii="宋体" w:hAnsi="宋体" w:eastAsia="宋体" w:cs="Times New Roman"/>
          <w:sz w:val="24"/>
          <w:szCs w:val="24"/>
          <w:highlight w:val="none"/>
        </w:rPr>
      </w:pPr>
    </w:p>
    <w:p w14:paraId="52256121">
      <w:pPr>
        <w:spacing w:line="360" w:lineRule="auto"/>
        <w:ind w:firstLine="480" w:firstLineChars="200"/>
        <w:rPr>
          <w:rFonts w:ascii="宋体" w:hAnsi="宋体" w:eastAsia="宋体" w:cs="Times New Roman"/>
          <w:sz w:val="24"/>
          <w:szCs w:val="24"/>
          <w:highlight w:val="none"/>
        </w:rPr>
      </w:pPr>
    </w:p>
    <w:p w14:paraId="34EE56D6">
      <w:pPr>
        <w:spacing w:line="360" w:lineRule="auto"/>
        <w:ind w:firstLine="480" w:firstLineChars="200"/>
        <w:rPr>
          <w:rFonts w:hint="eastAsia" w:ascii="宋体" w:hAnsi="宋体" w:eastAsia="宋体" w:cs="Times New Roman"/>
          <w:sz w:val="24"/>
          <w:szCs w:val="24"/>
          <w:highlight w:val="none"/>
        </w:rPr>
      </w:pPr>
    </w:p>
    <w:p w14:paraId="7B5F0E92">
      <w:pPr>
        <w:spacing w:line="360" w:lineRule="auto"/>
        <w:ind w:firstLine="643" w:firstLineChars="200"/>
        <w:jc w:val="center"/>
        <w:rPr>
          <w:rFonts w:hint="eastAsia" w:ascii="宋体" w:hAnsi="宋体" w:eastAsia="宋体" w:cs="Times New Roman"/>
          <w:b/>
          <w:bCs/>
          <w:sz w:val="32"/>
          <w:szCs w:val="32"/>
          <w:highlight w:val="none"/>
        </w:rPr>
      </w:pPr>
      <w:r>
        <w:rPr>
          <w:rFonts w:ascii="宋体" w:hAnsi="宋体" w:eastAsia="宋体" w:cs="Times New Roman"/>
          <w:b/>
          <w:bCs/>
          <w:sz w:val="32"/>
          <w:szCs w:val="32"/>
          <w:highlight w:val="none"/>
        </w:rPr>
        <w:t>采购合同</w:t>
      </w:r>
    </w:p>
    <w:p w14:paraId="113D6D72">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合同编号：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 签订地点：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p>
    <w:p w14:paraId="1B09440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签订时间：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年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月 </w:t>
      </w:r>
      <w:r>
        <w:rPr>
          <w:rFonts w:ascii="宋体" w:hAnsi="宋体" w:eastAsia="宋体" w:cs="Times New Roman"/>
          <w:sz w:val="24"/>
          <w:szCs w:val="24"/>
          <w:highlight w:val="none"/>
        </w:rPr>
        <w:tab/>
      </w:r>
      <w:r>
        <w:rPr>
          <w:rFonts w:ascii="宋体" w:hAnsi="宋体" w:eastAsia="宋体" w:cs="Times New Roman"/>
          <w:sz w:val="24"/>
          <w:szCs w:val="24"/>
          <w:highlight w:val="none"/>
        </w:rPr>
        <w:t xml:space="preserve">日 </w:t>
      </w:r>
    </w:p>
    <w:p w14:paraId="4276BC10">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采购人（甲方）：西安市中心血站 </w:t>
      </w:r>
    </w:p>
    <w:p w14:paraId="0C1F76F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供应商（乙方）： </w:t>
      </w:r>
      <w:r>
        <w:rPr>
          <w:rFonts w:ascii="宋体" w:hAnsi="宋体" w:eastAsia="宋体" w:cs="Times New Roman"/>
          <w:sz w:val="24"/>
          <w:szCs w:val="24"/>
          <w:highlight w:val="none"/>
        </w:rPr>
        <w:tab/>
      </w:r>
      <w:r>
        <w:rPr>
          <w:rFonts w:ascii="宋体" w:hAnsi="宋体" w:eastAsia="宋体" w:cs="Times New Roman"/>
          <w:sz w:val="24"/>
          <w:szCs w:val="24"/>
          <w:highlight w:val="none"/>
        </w:rPr>
        <w:tab/>
      </w:r>
      <w:r>
        <w:rPr>
          <w:rFonts w:ascii="宋体" w:hAnsi="宋体" w:eastAsia="宋体" w:cs="Times New Roman"/>
          <w:sz w:val="24"/>
          <w:szCs w:val="24"/>
          <w:highlight w:val="none"/>
        </w:rPr>
        <w:tab/>
      </w:r>
    </w:p>
    <w:p w14:paraId="3468E9CE">
      <w:pPr>
        <w:spacing w:line="360" w:lineRule="auto"/>
        <w:ind w:firstLine="480" w:firstLineChars="200"/>
        <w:rPr>
          <w:rFonts w:hint="eastAsia" w:ascii="宋体" w:hAnsi="宋体" w:eastAsia="宋体" w:cs="Times New Roman"/>
          <w:b/>
          <w:bCs/>
          <w:sz w:val="24"/>
          <w:szCs w:val="24"/>
          <w:highlight w:val="none"/>
        </w:rPr>
      </w:pPr>
      <w:r>
        <w:rPr>
          <w:rFonts w:ascii="宋体" w:hAnsi="宋体" w:eastAsia="宋体" w:cs="Times New Roman"/>
          <w:sz w:val="24"/>
          <w:szCs w:val="24"/>
          <w:highlight w:val="none"/>
        </w:rPr>
        <w:t>根据《中华人民共和国政府采购法》及实施条例、《中华人民共和国民法典》 和</w:t>
      </w:r>
      <w:r>
        <w:rPr>
          <w:rFonts w:hint="eastAsia" w:ascii="宋体" w:hAnsi="宋体" w:eastAsia="宋体" w:cs="Times New Roman"/>
          <w:b/>
          <w:bCs/>
          <w:sz w:val="24"/>
          <w:szCs w:val="24"/>
          <w:highlight w:val="none"/>
        </w:rPr>
        <w:t>西安市中心血站</w:t>
      </w:r>
      <w:r>
        <w:rPr>
          <w:rFonts w:ascii="宋体" w:hAnsi="宋体" w:eastAsia="宋体" w:cs="Times New Roman"/>
          <w:b/>
          <w:bCs/>
          <w:sz w:val="24"/>
          <w:szCs w:val="24"/>
          <w:highlight w:val="none"/>
        </w:rPr>
        <w:t>献血宣传活动策划执行采购项目(采购项目编号：</w:t>
      </w:r>
      <w:r>
        <w:rPr>
          <w:rFonts w:hint="eastAsia" w:ascii="宋体" w:hAnsi="宋体" w:cs="Times New Roman"/>
          <w:b/>
          <w:bCs/>
          <w:sz w:val="24"/>
          <w:szCs w:val="24"/>
          <w:highlight w:val="none"/>
          <w:lang w:eastAsia="zh-CN"/>
        </w:rPr>
        <w:t>LZBA2026-288</w:t>
      </w:r>
      <w:r>
        <w:rPr>
          <w:rFonts w:ascii="宋体" w:hAnsi="宋体" w:eastAsia="宋体" w:cs="Times New Roman"/>
          <w:b/>
          <w:bCs/>
          <w:sz w:val="24"/>
          <w:szCs w:val="24"/>
          <w:highlight w:val="none"/>
        </w:rPr>
        <w:t>)</w:t>
      </w:r>
      <w:r>
        <w:rPr>
          <w:rFonts w:ascii="宋体" w:hAnsi="宋体" w:eastAsia="宋体" w:cs="Times New Roman"/>
          <w:sz w:val="24"/>
          <w:szCs w:val="24"/>
          <w:highlight w:val="none"/>
        </w:rPr>
        <w:t>的竞争性磋商文件、乙方递交的响应文件等有关规定，为确保甲方采购项目的顺利实施，甲、乙双方在平等自愿原则下签订本合同，并共同遵守如下条款：</w:t>
      </w:r>
    </w:p>
    <w:p w14:paraId="0352E64A">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第一条  项目基本情况</w:t>
      </w:r>
    </w:p>
    <w:p w14:paraId="6B42ED66">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本项目旨在策划并执行多样化无偿献血宣传活动，全方位提升公众对无偿献血的认知与参与度，扩大无偿献血宣传覆盖面。服务内容涵盖无偿献血中大型主题活动、小型落地活动的全流程策划与执行，含活动宣传推广、配套物料制作等相关服务，确保宣传活动顺利开展，在西安市各献血点、社区、学校、企事业单位、机关等场景广泛传播无偿献血理念。</w:t>
      </w:r>
    </w:p>
    <w:p w14:paraId="6C8BA333">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第二条  合同期限</w:t>
      </w:r>
    </w:p>
    <w:p w14:paraId="3E8D0939">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合同履行期限：</w:t>
      </w:r>
    </w:p>
    <w:p w14:paraId="71EE564D">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第三条  服务内容与质量标准</w:t>
      </w:r>
    </w:p>
    <w:p w14:paraId="242ACB3B">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活动规模与类型</w:t>
      </w:r>
    </w:p>
    <w:p w14:paraId="7401C35B">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大中型主题活动：开展</w:t>
      </w:r>
      <w:r>
        <w:rPr>
          <w:rFonts w:hint="eastAsia" w:ascii="宋体" w:hAnsi="宋体" w:eastAsia="宋体" w:cs="宋体"/>
          <w:sz w:val="24"/>
          <w:szCs w:val="24"/>
          <w:highlight w:val="none"/>
          <w:lang w:val="en-US" w:eastAsia="zh-CN"/>
        </w:rPr>
        <w:t>不少于3</w:t>
      </w:r>
      <w:r>
        <w:rPr>
          <w:rFonts w:hint="eastAsia" w:ascii="宋体" w:hAnsi="宋体" w:eastAsia="宋体" w:cs="宋体"/>
          <w:sz w:val="24"/>
          <w:szCs w:val="24"/>
          <w:highlight w:val="none"/>
          <w:lang w:eastAsia="zh-CN"/>
        </w:rPr>
        <w:t>场</w:t>
      </w:r>
      <w:r>
        <w:rPr>
          <w:rFonts w:hint="eastAsia" w:ascii="宋体" w:hAnsi="宋体" w:eastAsia="宋体" w:cs="宋体"/>
          <w:sz w:val="24"/>
          <w:szCs w:val="24"/>
          <w:highlight w:val="none"/>
          <w:lang w:val="en-US" w:eastAsia="zh-CN"/>
        </w:rPr>
        <w:t>/次</w:t>
      </w:r>
      <w:r>
        <w:rPr>
          <w:rFonts w:hint="eastAsia" w:ascii="宋体" w:hAnsi="宋体" w:eastAsia="宋体" w:cs="宋体"/>
          <w:sz w:val="24"/>
          <w:szCs w:val="24"/>
          <w:highlight w:val="none"/>
          <w:lang w:eastAsia="zh-CN"/>
        </w:rPr>
        <w:t>（如世界献血者日主题纪念活动、西安市献血宣传月等），含舞台搭建、主题展览、文艺演出及百余名献血者/团体表彰；</w:t>
      </w:r>
    </w:p>
    <w:p w14:paraId="214A907B">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小型落地活动：开展</w:t>
      </w:r>
      <w:r>
        <w:rPr>
          <w:rFonts w:hint="eastAsia" w:ascii="宋体" w:hAnsi="宋体" w:eastAsia="宋体" w:cs="宋体"/>
          <w:sz w:val="24"/>
          <w:szCs w:val="24"/>
          <w:highlight w:val="none"/>
          <w:lang w:val="en-US" w:eastAsia="zh-CN"/>
        </w:rPr>
        <w:t>不少于7</w:t>
      </w:r>
      <w:r>
        <w:rPr>
          <w:rFonts w:hint="eastAsia" w:ascii="宋体" w:hAnsi="宋体" w:eastAsia="宋体" w:cs="宋体"/>
          <w:sz w:val="24"/>
          <w:szCs w:val="24"/>
          <w:highlight w:val="none"/>
          <w:lang w:eastAsia="zh-CN"/>
        </w:rPr>
        <w:t>场</w:t>
      </w:r>
      <w:r>
        <w:rPr>
          <w:rFonts w:hint="eastAsia" w:ascii="宋体" w:hAnsi="宋体" w:eastAsia="宋体" w:cs="宋体"/>
          <w:sz w:val="24"/>
          <w:szCs w:val="24"/>
          <w:highlight w:val="none"/>
          <w:lang w:val="en-US" w:eastAsia="zh-CN"/>
        </w:rPr>
        <w:t>/次，包括但不限于</w:t>
      </w:r>
      <w:r>
        <w:rPr>
          <w:rFonts w:hint="eastAsia" w:ascii="宋体" w:hAnsi="宋体" w:eastAsia="宋体" w:cs="宋体"/>
          <w:sz w:val="24"/>
          <w:szCs w:val="24"/>
          <w:highlight w:val="none"/>
          <w:lang w:eastAsia="zh-CN"/>
        </w:rPr>
        <w:t>进高校、进社区、进机关等活动，含展板、咨询台、宣传品布设等；</w:t>
      </w:r>
    </w:p>
    <w:p w14:paraId="4A69A2C7">
      <w:pPr>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场次调整：大、小活动具体场次可根据工作需要灵活调整，总费用保持不变。</w:t>
      </w:r>
      <w:r>
        <w:rPr>
          <w:rFonts w:hint="eastAsia" w:ascii="宋体" w:hAnsi="宋体" w:eastAsia="宋体" w:cs="宋体"/>
          <w:sz w:val="24"/>
          <w:szCs w:val="24"/>
          <w:highlight w:val="none"/>
          <w:lang w:val="en-US" w:eastAsia="zh-CN"/>
        </w:rPr>
        <w:t>每场活动的策划方案：大中型活动须提前30日、小型活动须提前15日报采购人核定后执行。</w:t>
      </w:r>
    </w:p>
    <w:p w14:paraId="116A981B">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活动核心内容</w:t>
      </w:r>
    </w:p>
    <w:p w14:paraId="5FF915AF">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主题展览：负责展板设计与制作，内容涵盖献血知识科普、流程说明、优待政策、条例普及、本市历年献血数据及感人故事等；</w:t>
      </w:r>
    </w:p>
    <w:p w14:paraId="6CDDDF63">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互动体验：策划献血知识竞赛、抽盲盒、拼图游戏等环节，为获胜者提供小礼品；</w:t>
      </w:r>
    </w:p>
    <w:p w14:paraId="7D440510">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舞台表演与表彰：完成舞台搭建，策划文艺表演节目；组织优秀献血者及团体表彰，筹备、颁发荣誉证书与纪念品；保障舞台音响控制、现场执行等工作；</w:t>
      </w:r>
    </w:p>
    <w:p w14:paraId="448DB3C7">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小型活动执行：布设宣传展板与咨询台，开展互动活动并发放礼品，安排现场表彰，做好全流程现场执行。</w:t>
      </w:r>
    </w:p>
    <w:p w14:paraId="1E601E2A">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宣传推广</w:t>
      </w:r>
    </w:p>
    <w:p w14:paraId="77E1C81D">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活动前：提前 2 周在微博、抖音、小红书等新媒体平台发布活动信息及预告，扩大知晓度；</w:t>
      </w:r>
    </w:p>
    <w:p w14:paraId="00C80C9E">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活动中：实时发布现场图文、短视频，开展线上互动抽奖，引导参与者分享传播；</w:t>
      </w:r>
    </w:p>
    <w:p w14:paraId="1E1E84E6">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活动后：撰写活动稿件，制作总结素材，在知名媒体报刊等渠道推广，提升活动影响力。</w:t>
      </w:r>
    </w:p>
    <w:p w14:paraId="3CD4CA1C">
      <w:pPr>
        <w:bidi w:val="0"/>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团队要求核心执行团队配备齐全，包含活动策划、文案设计、舞台搭建、现场执行、宣传推广、物料制作等关键岗位，各岗位人员具备对应从业经验并可提供个人作品集。</w:t>
      </w:r>
    </w:p>
    <w:p w14:paraId="29351F7E">
      <w:pPr>
        <w:numPr>
          <w:ilvl w:val="0"/>
          <w:numId w:val="1"/>
        </w:num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第四条  合同价款</w:t>
      </w:r>
    </w:p>
    <w:p w14:paraId="5F1DCB10">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1.合同总价款为人民币(大写):</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p>
    <w:p w14:paraId="3A9D10F0">
      <w:pPr>
        <w:spacing w:line="360" w:lineRule="auto"/>
        <w:ind w:firstLine="480" w:firstLineChars="200"/>
        <w:rPr>
          <w:rFonts w:hint="eastAsia" w:ascii="宋体" w:hAnsi="宋体" w:eastAsia="宋体" w:cs="Times New Roman"/>
          <w:sz w:val="24"/>
          <w:szCs w:val="24"/>
          <w:highlight w:val="none"/>
          <w:u w:val="single"/>
        </w:rPr>
      </w:pPr>
      <w:r>
        <w:rPr>
          <w:rFonts w:ascii="宋体" w:hAnsi="宋体" w:eastAsia="宋体" w:cs="Times New Roman"/>
          <w:sz w:val="24"/>
          <w:szCs w:val="24"/>
          <w:highlight w:val="none"/>
        </w:rPr>
        <w:t>2.本项目合同总价款由以下组成:</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hint="eastAsia" w:ascii="宋体" w:hAnsi="宋体" w:eastAsia="宋体" w:cs="Times New Roman"/>
          <w:sz w:val="24"/>
          <w:szCs w:val="24"/>
          <w:highlight w:val="none"/>
          <w:u w:val="single"/>
        </w:rPr>
        <w:t xml:space="preserve">                         </w:t>
      </w:r>
    </w:p>
    <w:p w14:paraId="6AEC8F8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3.甲方无须另向乙方支付本合同规定之外的其他任何费用。</w:t>
      </w:r>
    </w:p>
    <w:p w14:paraId="4F22B574">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4.履约保证金: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ab/>
      </w:r>
      <w:r>
        <w:rPr>
          <w:rFonts w:ascii="宋体" w:hAnsi="宋体" w:eastAsia="宋体" w:cs="Times New Roman"/>
          <w:sz w:val="24"/>
          <w:szCs w:val="24"/>
          <w:highlight w:val="none"/>
          <w:u w:val="single"/>
        </w:rPr>
        <w:t xml:space="preserve">不涉及 </w:t>
      </w:r>
      <w:r>
        <w:rPr>
          <w:rFonts w:ascii="宋体" w:hAnsi="宋体" w:eastAsia="宋体" w:cs="Times New Roman"/>
          <w:sz w:val="24"/>
          <w:szCs w:val="24"/>
          <w:highlight w:val="none"/>
          <w:u w:val="single"/>
        </w:rPr>
        <w:tab/>
      </w:r>
      <w:r>
        <w:rPr>
          <w:rFonts w:ascii="宋体" w:hAnsi="宋体" w:eastAsia="宋体" w:cs="Times New Roman"/>
          <w:sz w:val="24"/>
          <w:szCs w:val="24"/>
          <w:highlight w:val="none"/>
          <w:u w:val="single"/>
        </w:rPr>
        <w:t xml:space="preserve"> </w:t>
      </w:r>
    </w:p>
    <w:p w14:paraId="6A4464E4">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第五条  付款方式、时间及付款条件</w:t>
      </w:r>
    </w:p>
    <w:p w14:paraId="5BAAF2CC">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双方约定按4:5:1比例分期支付，具体支付方式如下：</w:t>
      </w:r>
    </w:p>
    <w:p w14:paraId="2997CBB8">
      <w:pPr>
        <w:spacing w:line="360" w:lineRule="auto"/>
        <w:ind w:firstLine="480" w:firstLineChars="200"/>
        <w:jc w:val="left"/>
        <w:rPr>
          <w:rFonts w:hint="eastAsia" w:ascii="宋体" w:hAnsi="宋体" w:eastAsia="宋体" w:cs="Times New Roman"/>
          <w:sz w:val="24"/>
          <w:szCs w:val="24"/>
          <w:highlight w:val="none"/>
        </w:rPr>
      </w:pPr>
      <w:r>
        <w:rPr>
          <w:rFonts w:hint="eastAsia" w:ascii="宋体" w:hAnsi="宋体"/>
          <w:sz w:val="24"/>
          <w:szCs w:val="24"/>
          <w:highlight w:val="none"/>
        </w:rPr>
        <w:t>（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w:t>
      </w:r>
    </w:p>
    <w:p w14:paraId="5F1D033A">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第六条  交付时间、地点、方式</w:t>
      </w:r>
    </w:p>
    <w:p w14:paraId="17D0123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1.交付时间：</w:t>
      </w:r>
      <w:r>
        <w:rPr>
          <w:rFonts w:hint="eastAsia" w:ascii="宋体" w:hAnsi="宋体" w:eastAsia="宋体" w:cs="Times New Roman"/>
          <w:sz w:val="24"/>
          <w:szCs w:val="24"/>
          <w:highlight w:val="none"/>
        </w:rPr>
        <w:t>自签订合同起一年，期间完成所有宣传活动的策划、执行及配套物料制作、宣传推广等相关服务。</w:t>
      </w:r>
    </w:p>
    <w:p w14:paraId="5B68EC41">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2.交付地点：甲方指定地点                                                             </w:t>
      </w:r>
    </w:p>
    <w:p w14:paraId="2876CBEF">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3.交付条件：本次所有服务内容完成 </w:t>
      </w:r>
    </w:p>
    <w:p w14:paraId="40E812F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甲方联系人及电话：</w:t>
      </w:r>
      <w:r>
        <w:rPr>
          <w:rFonts w:ascii="宋体" w:hAnsi="宋体" w:eastAsia="宋体" w:cs="Times New Roman"/>
          <w:sz w:val="24"/>
          <w:szCs w:val="24"/>
          <w:highlight w:val="none"/>
          <w:u w:val="single"/>
        </w:rPr>
        <w:t xml:space="preserve">                       </w:t>
      </w:r>
    </w:p>
    <w:p w14:paraId="00B3D46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乙方联系人及电话: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 xml:space="preserve">                                                 </w:t>
      </w:r>
    </w:p>
    <w:p w14:paraId="51D4CE3B">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第七条  质量保证及售后服务 </w:t>
      </w:r>
    </w:p>
    <w:p w14:paraId="4C21BAA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质量保证：乙方应保证所提供的服务，符合甲方的要求。如不符时，乙方应负全责。并尽快处理解决，由此造成的损失和相关费用由乙方负责，甲方保留终止合同及索赔的权利 。</w:t>
      </w:r>
    </w:p>
    <w:p w14:paraId="24197F44">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售后服务：自项目开始之日起，直至本次所有服务内容完成 。 </w:t>
      </w:r>
    </w:p>
    <w:p w14:paraId="67E11B5B">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第八条  验收</w:t>
      </w:r>
    </w:p>
    <w:p w14:paraId="128E2935">
      <w:pPr>
        <w:spacing w:line="360" w:lineRule="auto"/>
        <w:ind w:firstLine="482" w:firstLineChars="200"/>
        <w:rPr>
          <w:rFonts w:hint="eastAsia" w:ascii="宋体" w:hAnsi="宋体" w:eastAsia="宋体" w:cs="Times New Roman"/>
          <w:b/>
          <w:bCs/>
          <w:sz w:val="24"/>
          <w:szCs w:val="24"/>
          <w:highlight w:val="none"/>
        </w:rPr>
      </w:pPr>
      <w:r>
        <w:rPr>
          <w:rFonts w:hint="eastAsia" w:ascii="宋体" w:hAnsi="宋体" w:eastAsia="宋体" w:cs="Times New Roman"/>
          <w:b/>
          <w:bCs/>
          <w:sz w:val="24"/>
          <w:szCs w:val="24"/>
          <w:highlight w:val="none"/>
        </w:rPr>
        <w:t>验收不合格的，供应商应在指定期限内整改，整改合格并重新验收通过后，方可申请付款。</w:t>
      </w:r>
    </w:p>
    <w:p w14:paraId="50010947">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第九条  无产权瑕疵条款 </w:t>
      </w:r>
    </w:p>
    <w:p w14:paraId="5D95350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乙方保证所提供的服务的所有权完全属于乙方且无任何抵押、查封等产权瑕疵。如有产权瑕疵的，视为乙方违约，乙方应负担由此而产生的一切损失。</w:t>
      </w:r>
    </w:p>
    <w:p w14:paraId="72E522FA">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第十条  甲方的权利和义务</w:t>
      </w:r>
    </w:p>
    <w:p w14:paraId="251D4D37">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w:t>
      </w:r>
      <w:r>
        <w:rPr>
          <w:rFonts w:ascii="宋体" w:hAnsi="宋体" w:eastAsia="宋体" w:cs="Times New Roman"/>
          <w:sz w:val="24"/>
          <w:szCs w:val="24"/>
          <w:highlight w:val="none"/>
        </w:rPr>
        <w:t>甲方有权对合同规定范围内乙方的服务行为进行监督和检查，拥有监 管权；有权定期核对乙方提供服务所配备的人员数量，对甲方认为不合理的 部分有权下达整改通知书，并要求乙方限期整改。</w:t>
      </w:r>
    </w:p>
    <w:p w14:paraId="66C2553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2.甲方有权对乙方提供的服务进行定期考评，当考评结果未达到标准时，有权要求乙方返还已支付相应数额的费用。</w:t>
      </w:r>
    </w:p>
    <w:p w14:paraId="5EE2806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3.负责检查监督乙方管理工作的实施及制度的执行情况</w:t>
      </w:r>
      <w:r>
        <w:rPr>
          <w:rFonts w:hint="eastAsia" w:ascii="宋体" w:hAnsi="宋体" w:eastAsia="宋体" w:cs="Times New Roman"/>
          <w:sz w:val="24"/>
          <w:szCs w:val="24"/>
          <w:highlight w:val="none"/>
        </w:rPr>
        <w:t>。</w:t>
      </w:r>
    </w:p>
    <w:p w14:paraId="153282F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4.根据本合同规定，按时向乙方支付应付服务费用。</w:t>
      </w:r>
    </w:p>
    <w:p w14:paraId="6688EC5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 xml:space="preserve">5.国家法律、法规所规定由甲方承担的其它责任。 </w:t>
      </w:r>
    </w:p>
    <w:p w14:paraId="7A562D4E">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第十一条  乙方的权利和义务</w:t>
      </w:r>
    </w:p>
    <w:p w14:paraId="287BE17B">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1.对本合同规定的委托服务范围内的项目享有管理权及服务义务。</w:t>
      </w:r>
    </w:p>
    <w:p w14:paraId="124533D6">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2.根据本合同的规定向甲方收取相关服务费用，并有权在本项目管理范围内管理及合理使用。</w:t>
      </w:r>
    </w:p>
    <w:p w14:paraId="761AF319">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3.及时向甲方通告本项目服务范围内有关服务的重大事项，及时配合处理投诉。</w:t>
      </w:r>
    </w:p>
    <w:p w14:paraId="1087D781">
      <w:pPr>
        <w:spacing w:line="360" w:lineRule="auto"/>
        <w:ind w:firstLine="480" w:firstLineChars="200"/>
        <w:rPr>
          <w:rFonts w:hint="default" w:ascii="宋体" w:hAnsi="宋体" w:eastAsia="宋体" w:cs="Times New Roman"/>
          <w:sz w:val="24"/>
          <w:szCs w:val="24"/>
          <w:highlight w:val="none"/>
          <w:lang w:val="en-US" w:eastAsia="zh-CN"/>
        </w:rPr>
      </w:pPr>
      <w:r>
        <w:rPr>
          <w:rFonts w:ascii="宋体" w:hAnsi="宋体" w:eastAsia="宋体" w:cs="Times New Roman"/>
          <w:sz w:val="24"/>
          <w:szCs w:val="24"/>
          <w:highlight w:val="none"/>
        </w:rPr>
        <w:t>4.</w:t>
      </w:r>
      <w:r>
        <w:rPr>
          <w:rFonts w:hint="eastAsia" w:ascii="宋体" w:hAnsi="宋体" w:cs="Times New Roman"/>
          <w:sz w:val="24"/>
          <w:szCs w:val="24"/>
          <w:highlight w:val="none"/>
          <w:lang w:val="en-US" w:eastAsia="zh-CN"/>
        </w:rPr>
        <w:t>本项目实施过程中发生的安全事故责任由乙方承担。</w:t>
      </w:r>
    </w:p>
    <w:p w14:paraId="4527779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5.接受项目行业管理部门及政府有关部门的指导，接受甲方的监督。</w:t>
      </w:r>
    </w:p>
    <w:p w14:paraId="362350D7">
      <w:pPr>
        <w:spacing w:line="360" w:lineRule="auto"/>
        <w:ind w:firstLine="480" w:firstLineChars="200"/>
        <w:rPr>
          <w:rFonts w:hint="eastAsia" w:ascii="宋体" w:hAnsi="宋体" w:eastAsia="宋体" w:cs="Times New Roman"/>
          <w:sz w:val="24"/>
          <w:szCs w:val="24"/>
          <w:highlight w:val="none"/>
        </w:rPr>
      </w:pPr>
      <w:r>
        <w:rPr>
          <w:rFonts w:hint="eastAsia" w:ascii="宋体" w:hAnsi="宋体" w:cs="Times New Roman"/>
          <w:sz w:val="24"/>
          <w:szCs w:val="24"/>
          <w:highlight w:val="none"/>
          <w:lang w:val="en-US" w:eastAsia="zh-CN"/>
        </w:rPr>
        <w:t>6.</w:t>
      </w:r>
      <w:r>
        <w:rPr>
          <w:rFonts w:ascii="宋体" w:hAnsi="宋体" w:eastAsia="宋体" w:cs="Times New Roman"/>
          <w:sz w:val="24"/>
          <w:szCs w:val="24"/>
          <w:highlight w:val="none"/>
        </w:rPr>
        <w:t xml:space="preserve">国家法律、法规所规定由乙方承担的其它责任。 </w:t>
      </w:r>
    </w:p>
    <w:p w14:paraId="24F79F47">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第十二条  违约责任</w:t>
      </w:r>
    </w:p>
    <w:p w14:paraId="0B17CA86">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1.甲乙双方必须遵守本合同并执行合同中的各项规定，保证本合同的正常履行。</w:t>
      </w:r>
    </w:p>
    <w:p w14:paraId="7134643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乙方未全面履行合同义务或者发生违约，甲方有权解除合同，要求乙方承担本合同总价款20%的违约金。依法向乙方进行经济索赔(包括但不限于律师费、诉讼费、保全费等)，并报请政府采购监督管理机关依法进行相应的行政处罚。</w:t>
      </w:r>
    </w:p>
    <w:p w14:paraId="52C0B0A6">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第十三条  不可抗力事件处理</w:t>
      </w:r>
    </w:p>
    <w:p w14:paraId="56B4BDC9">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1.在合同有效期内，任何一方因不可抗力事件导致不能履行合同，则合同履行期可延长，其延长期与不可抗力影响期相同。</w:t>
      </w:r>
    </w:p>
    <w:p w14:paraId="22E4392E">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2.不可抗力事件发生后，应立即通知对方，并寄送有关权威机构出具的证明。</w:t>
      </w:r>
    </w:p>
    <w:p w14:paraId="00638BA8">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3.不可抗力事件延续 30 天以上，双方应通过友好协商，确定是否继续履行合同。</w:t>
      </w:r>
    </w:p>
    <w:p w14:paraId="396DCCC7">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第十四条  合同的变更和终止</w:t>
      </w:r>
    </w:p>
    <w:p w14:paraId="1F7ACE2A">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除《中华人民共和国政府采购法》第 49 条、第 50 条第二款规定的情形外，本合同一经签订，甲乙双方不得擅自变更、中止或终止合同。</w:t>
      </w:r>
    </w:p>
    <w:p w14:paraId="3618951D">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 xml:space="preserve">第十五条  争议解决条款 </w:t>
      </w:r>
    </w:p>
    <w:p w14:paraId="6B2E59A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在执行本合同中发生的或与本合同有关的争端，双方应通过友好协商解</w:t>
      </w:r>
    </w:p>
    <w:p w14:paraId="1046108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决，经协商在 7 天内不能达成协议时，双方可按下列第</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2</w:t>
      </w:r>
      <w:r>
        <w:rPr>
          <w:rFonts w:ascii="宋体" w:hAnsi="宋体" w:eastAsia="宋体" w:cs="Times New Roman"/>
          <w:sz w:val="24"/>
          <w:szCs w:val="24"/>
          <w:highlight w:val="none"/>
          <w:u w:val="single"/>
        </w:rPr>
        <w:tab/>
      </w:r>
      <w:r>
        <w:rPr>
          <w:rFonts w:ascii="宋体" w:hAnsi="宋体" w:eastAsia="宋体" w:cs="Times New Roman"/>
          <w:sz w:val="24"/>
          <w:szCs w:val="24"/>
          <w:highlight w:val="none"/>
        </w:rPr>
        <w:t>种方式解决：</w:t>
      </w:r>
    </w:p>
    <w:p w14:paraId="2F6CC35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（一）提交西安仲裁委员会仲裁；</w:t>
      </w:r>
    </w:p>
    <w:p w14:paraId="46BB3C21">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（二）依法向</w:t>
      </w:r>
      <w:r>
        <w:rPr>
          <w:rFonts w:hint="eastAsia" w:ascii="宋体" w:hAnsi="宋体" w:eastAsia="宋体" w:cs="Times New Roman"/>
          <w:sz w:val="24"/>
          <w:szCs w:val="24"/>
          <w:highlight w:val="none"/>
        </w:rPr>
        <w:t>有管辖权的</w:t>
      </w:r>
      <w:r>
        <w:rPr>
          <w:rFonts w:ascii="宋体" w:hAnsi="宋体" w:eastAsia="宋体" w:cs="Times New Roman"/>
          <w:sz w:val="24"/>
          <w:szCs w:val="24"/>
          <w:highlight w:val="none"/>
        </w:rPr>
        <w:t xml:space="preserve">人民法院起诉。 </w:t>
      </w:r>
    </w:p>
    <w:p w14:paraId="2452FB96">
      <w:pPr>
        <w:spacing w:line="360" w:lineRule="auto"/>
        <w:ind w:firstLine="482" w:firstLineChars="200"/>
        <w:rPr>
          <w:rFonts w:hint="eastAsia" w:ascii="宋体" w:hAnsi="宋体" w:eastAsia="宋体" w:cs="Times New Roman"/>
          <w:b/>
          <w:bCs/>
          <w:sz w:val="24"/>
          <w:szCs w:val="24"/>
          <w:highlight w:val="none"/>
        </w:rPr>
      </w:pPr>
      <w:r>
        <w:rPr>
          <w:rFonts w:ascii="宋体" w:hAnsi="宋体" w:eastAsia="宋体" w:cs="Times New Roman"/>
          <w:b/>
          <w:bCs/>
          <w:sz w:val="24"/>
          <w:szCs w:val="24"/>
          <w:highlight w:val="none"/>
        </w:rPr>
        <w:t>第十六条  合同生效及其他</w:t>
      </w:r>
    </w:p>
    <w:p w14:paraId="66F29C7B">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1.合同经双方法定代表人或授权委托代理人签字并加盖单位公章后生效。</w:t>
      </w:r>
    </w:p>
    <w:p w14:paraId="2F65297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1AEFA885">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3.本合同一式</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份，自双方签章之日起起效。甲方</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份，乙方</w:t>
      </w:r>
      <w:r>
        <w:rPr>
          <w:rFonts w:ascii="宋体" w:hAnsi="宋体" w:eastAsia="宋体" w:cs="Times New Roman"/>
          <w:sz w:val="24"/>
          <w:szCs w:val="24"/>
          <w:highlight w:val="none"/>
          <w:u w:val="single"/>
        </w:rPr>
        <w:t xml:space="preserve"> </w:t>
      </w:r>
      <w:r>
        <w:rPr>
          <w:rFonts w:hint="eastAsia" w:ascii="宋体" w:hAnsi="宋体" w:eastAsia="宋体" w:cs="Times New Roman"/>
          <w:sz w:val="24"/>
          <w:szCs w:val="24"/>
          <w:highlight w:val="none"/>
          <w:u w:val="single"/>
        </w:rPr>
        <w:t xml:space="preserve"> </w:t>
      </w:r>
      <w:r>
        <w:rPr>
          <w:rFonts w:ascii="宋体" w:hAnsi="宋体" w:eastAsia="宋体" w:cs="Times New Roman"/>
          <w:sz w:val="24"/>
          <w:szCs w:val="24"/>
          <w:highlight w:val="none"/>
          <w:u w:val="single"/>
        </w:rPr>
        <w:t xml:space="preserve"> </w:t>
      </w:r>
      <w:r>
        <w:rPr>
          <w:rFonts w:ascii="宋体" w:hAnsi="宋体" w:eastAsia="宋体" w:cs="Times New Roman"/>
          <w:sz w:val="24"/>
          <w:szCs w:val="24"/>
          <w:highlight w:val="none"/>
        </w:rPr>
        <w:t>份，具有同等法律效力。</w:t>
      </w:r>
    </w:p>
    <w:p w14:paraId="0249DD87">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第十七条  附件</w:t>
      </w:r>
    </w:p>
    <w:p w14:paraId="58FC326C">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1.竞争性磋商文件</w:t>
      </w:r>
    </w:p>
    <w:p w14:paraId="14E7DAAD">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2.修改澄清文件(若有)</w:t>
      </w:r>
    </w:p>
    <w:p w14:paraId="1E33D784">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3.响应文件</w:t>
      </w:r>
    </w:p>
    <w:p w14:paraId="494814A1">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4.成交通知书</w:t>
      </w:r>
    </w:p>
    <w:p w14:paraId="51595979">
      <w:pPr>
        <w:spacing w:line="360" w:lineRule="auto"/>
        <w:ind w:firstLine="480" w:firstLineChars="200"/>
        <w:rPr>
          <w:rFonts w:hint="eastAsia" w:ascii="宋体" w:hAnsi="宋体" w:eastAsia="宋体" w:cs="Times New Roman"/>
          <w:sz w:val="24"/>
          <w:szCs w:val="24"/>
          <w:highlight w:val="none"/>
        </w:rPr>
      </w:pPr>
      <w:r>
        <w:rPr>
          <w:rFonts w:ascii="宋体" w:hAnsi="宋体" w:eastAsia="宋体" w:cs="Times New Roman"/>
          <w:sz w:val="24"/>
          <w:szCs w:val="24"/>
          <w:highlight w:val="none"/>
        </w:rPr>
        <w:t>5.其他</w:t>
      </w:r>
    </w:p>
    <w:p w14:paraId="366D4562">
      <w:pPr>
        <w:spacing w:line="360" w:lineRule="auto"/>
        <w:rPr>
          <w:rFonts w:hint="eastAsia" w:ascii="宋体" w:hAnsi="宋体" w:eastAsia="宋体" w:cs="Times New Roman"/>
          <w:sz w:val="24"/>
          <w:szCs w:val="24"/>
          <w:highlight w:val="none"/>
        </w:rPr>
      </w:pPr>
    </w:p>
    <w:p w14:paraId="69F7CE38">
      <w:pPr>
        <w:widowControl/>
        <w:jc w:val="lef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br w:type="page"/>
      </w:r>
    </w:p>
    <w:tbl>
      <w:tblPr>
        <w:tblStyle w:val="2"/>
        <w:tblW w:w="52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6"/>
        <w:gridCol w:w="3728"/>
      </w:tblGrid>
      <w:tr w14:paraId="517DC824">
        <w:tblPrEx>
          <w:tblCellMar>
            <w:top w:w="0" w:type="dxa"/>
            <w:left w:w="108" w:type="dxa"/>
            <w:bottom w:w="0" w:type="dxa"/>
            <w:right w:w="108" w:type="dxa"/>
          </w:tblCellMar>
        </w:tblPrEx>
        <w:trPr>
          <w:trHeight w:val="551" w:hRule="atLeast"/>
        </w:trPr>
        <w:tc>
          <w:tcPr>
            <w:tcW w:w="2906" w:type="pct"/>
            <w:tcBorders>
              <w:top w:val="single" w:color="auto" w:sz="4" w:space="0"/>
              <w:left w:val="single" w:color="auto" w:sz="4" w:space="0"/>
              <w:bottom w:val="single" w:color="auto" w:sz="4" w:space="0"/>
              <w:right w:val="single" w:color="auto" w:sz="4" w:space="0"/>
            </w:tcBorders>
            <w:vAlign w:val="center"/>
          </w:tcPr>
          <w:p w14:paraId="6009BC8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  方</w:t>
            </w:r>
          </w:p>
        </w:tc>
        <w:tc>
          <w:tcPr>
            <w:tcW w:w="2093" w:type="pct"/>
            <w:tcBorders>
              <w:top w:val="single" w:color="auto" w:sz="4" w:space="0"/>
              <w:left w:val="single" w:color="auto" w:sz="4" w:space="0"/>
              <w:bottom w:val="single" w:color="auto" w:sz="4" w:space="0"/>
              <w:right w:val="single" w:color="auto" w:sz="4" w:space="0"/>
            </w:tcBorders>
            <w:vAlign w:val="center"/>
          </w:tcPr>
          <w:p w14:paraId="24110AB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乙  方</w:t>
            </w:r>
          </w:p>
        </w:tc>
      </w:tr>
      <w:tr w14:paraId="46DF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2906" w:type="pct"/>
            <w:tcBorders>
              <w:top w:val="single" w:color="auto" w:sz="4" w:space="0"/>
              <w:left w:val="single" w:color="auto" w:sz="4" w:space="0"/>
              <w:bottom w:val="single" w:color="auto" w:sz="4" w:space="0"/>
              <w:right w:val="single" w:color="auto" w:sz="4" w:space="0"/>
            </w:tcBorders>
            <w:vAlign w:val="center"/>
          </w:tcPr>
          <w:p w14:paraId="40B63CE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采购人名称（盖章）</w:t>
            </w:r>
          </w:p>
          <w:p w14:paraId="569F54CC">
            <w:pPr>
              <w:spacing w:line="360" w:lineRule="auto"/>
              <w:rPr>
                <w:rFonts w:hint="eastAsia" w:ascii="宋体" w:hAnsi="宋体" w:eastAsia="宋体" w:cs="Times New Roman"/>
                <w:sz w:val="24"/>
                <w:szCs w:val="24"/>
                <w:highlight w:val="none"/>
              </w:rPr>
            </w:pPr>
            <w:r>
              <w:rPr>
                <w:rFonts w:hint="eastAsia" w:ascii="宋体" w:hAnsi="宋体" w:eastAsia="宋体" w:cs="Times New Roman"/>
                <w:kern w:val="0"/>
                <w:sz w:val="24"/>
                <w:szCs w:val="24"/>
                <w:highlight w:val="none"/>
              </w:rPr>
              <w:t>西安市中心血站</w:t>
            </w:r>
          </w:p>
        </w:tc>
        <w:tc>
          <w:tcPr>
            <w:tcW w:w="2093" w:type="pct"/>
            <w:tcBorders>
              <w:top w:val="single" w:color="auto" w:sz="4" w:space="0"/>
              <w:left w:val="single" w:color="auto" w:sz="4" w:space="0"/>
              <w:bottom w:val="single" w:color="auto" w:sz="4" w:space="0"/>
              <w:right w:val="single" w:color="auto" w:sz="4" w:space="0"/>
            </w:tcBorders>
            <w:vAlign w:val="center"/>
          </w:tcPr>
          <w:p w14:paraId="0439B780">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供应商全称（盖章）</w:t>
            </w:r>
          </w:p>
          <w:p w14:paraId="13EF88FE">
            <w:pPr>
              <w:spacing w:line="360" w:lineRule="auto"/>
              <w:rPr>
                <w:rFonts w:hint="eastAsia" w:ascii="宋体" w:hAnsi="宋体" w:eastAsia="宋体" w:cs="Times New Roman"/>
                <w:sz w:val="24"/>
                <w:szCs w:val="24"/>
                <w:highlight w:val="none"/>
              </w:rPr>
            </w:pPr>
          </w:p>
        </w:tc>
      </w:tr>
      <w:tr w14:paraId="7C1E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906" w:type="pct"/>
            <w:tcBorders>
              <w:top w:val="single" w:color="auto" w:sz="4" w:space="0"/>
              <w:left w:val="single" w:color="auto" w:sz="4" w:space="0"/>
              <w:bottom w:val="single" w:color="auto" w:sz="4" w:space="0"/>
              <w:right w:val="single" w:color="auto" w:sz="4" w:space="0"/>
            </w:tcBorders>
            <w:vAlign w:val="center"/>
          </w:tcPr>
          <w:p w14:paraId="0A2E09A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地址：朱雀大街407号</w:t>
            </w:r>
          </w:p>
        </w:tc>
        <w:tc>
          <w:tcPr>
            <w:tcW w:w="2093" w:type="pct"/>
            <w:tcBorders>
              <w:top w:val="single" w:color="auto" w:sz="4" w:space="0"/>
              <w:left w:val="single" w:color="auto" w:sz="4" w:space="0"/>
              <w:bottom w:val="single" w:color="auto" w:sz="4" w:space="0"/>
              <w:right w:val="single" w:color="auto" w:sz="4" w:space="0"/>
            </w:tcBorders>
            <w:vAlign w:val="center"/>
          </w:tcPr>
          <w:p w14:paraId="17656BEC">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地址：</w:t>
            </w:r>
          </w:p>
        </w:tc>
      </w:tr>
      <w:tr w14:paraId="38EA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906" w:type="pct"/>
            <w:tcBorders>
              <w:top w:val="single" w:color="auto" w:sz="4" w:space="0"/>
              <w:left w:val="single" w:color="auto" w:sz="4" w:space="0"/>
              <w:bottom w:val="single" w:color="auto" w:sz="4" w:space="0"/>
              <w:right w:val="single" w:color="auto" w:sz="4" w:space="0"/>
            </w:tcBorders>
            <w:vAlign w:val="center"/>
          </w:tcPr>
          <w:p w14:paraId="19DC4EBB">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邮编：710061</w:t>
            </w:r>
          </w:p>
        </w:tc>
        <w:tc>
          <w:tcPr>
            <w:tcW w:w="2093" w:type="pct"/>
            <w:tcBorders>
              <w:top w:val="single" w:color="auto" w:sz="4" w:space="0"/>
              <w:left w:val="single" w:color="auto" w:sz="4" w:space="0"/>
              <w:bottom w:val="single" w:color="auto" w:sz="4" w:space="0"/>
              <w:right w:val="single" w:color="auto" w:sz="4" w:space="0"/>
            </w:tcBorders>
            <w:vAlign w:val="center"/>
          </w:tcPr>
          <w:p w14:paraId="68147731">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邮编：</w:t>
            </w:r>
          </w:p>
        </w:tc>
      </w:tr>
      <w:tr w14:paraId="0A00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exact"/>
        </w:trPr>
        <w:tc>
          <w:tcPr>
            <w:tcW w:w="2906" w:type="pct"/>
            <w:tcBorders>
              <w:top w:val="single" w:color="auto" w:sz="4" w:space="0"/>
              <w:left w:val="single" w:color="auto" w:sz="4" w:space="0"/>
              <w:bottom w:val="single" w:color="auto" w:sz="4" w:space="0"/>
              <w:right w:val="single" w:color="auto" w:sz="4" w:space="0"/>
            </w:tcBorders>
            <w:vAlign w:val="center"/>
          </w:tcPr>
          <w:p w14:paraId="2640105B">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 xml:space="preserve">法定代表人： </w:t>
            </w:r>
          </w:p>
        </w:tc>
        <w:tc>
          <w:tcPr>
            <w:tcW w:w="2093" w:type="pct"/>
            <w:tcBorders>
              <w:top w:val="single" w:color="auto" w:sz="4" w:space="0"/>
              <w:left w:val="single" w:color="auto" w:sz="4" w:space="0"/>
              <w:bottom w:val="single" w:color="auto" w:sz="4" w:space="0"/>
              <w:right w:val="single" w:color="auto" w:sz="4" w:space="0"/>
            </w:tcBorders>
            <w:vAlign w:val="center"/>
          </w:tcPr>
          <w:p w14:paraId="474D8A9F">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法定代表人：</w:t>
            </w:r>
          </w:p>
        </w:tc>
      </w:tr>
      <w:tr w14:paraId="3AA1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906" w:type="pct"/>
            <w:tcBorders>
              <w:top w:val="single" w:color="auto" w:sz="4" w:space="0"/>
              <w:left w:val="single" w:color="auto" w:sz="4" w:space="0"/>
              <w:bottom w:val="single" w:color="auto" w:sz="4" w:space="0"/>
              <w:right w:val="single" w:color="auto" w:sz="4" w:space="0"/>
            </w:tcBorders>
            <w:vAlign w:val="center"/>
          </w:tcPr>
          <w:p w14:paraId="2EE92A4C">
            <w:pPr>
              <w:spacing w:line="360" w:lineRule="auto"/>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电话：</w:t>
            </w:r>
            <w:r>
              <w:rPr>
                <w:rFonts w:ascii="宋体" w:hAnsi="宋体" w:eastAsia="宋体" w:cs="Times New Roman"/>
                <w:sz w:val="24"/>
                <w:szCs w:val="24"/>
                <w:highlight w:val="none"/>
              </w:rPr>
              <w:t>029-</w:t>
            </w:r>
            <w:r>
              <w:rPr>
                <w:rFonts w:hint="eastAsia" w:ascii="宋体" w:hAnsi="宋体" w:cs="Times New Roman"/>
                <w:sz w:val="24"/>
                <w:szCs w:val="24"/>
                <w:highlight w:val="none"/>
                <w:lang w:val="en-US" w:eastAsia="zh-CN"/>
              </w:rPr>
              <w:t>85212746</w:t>
            </w:r>
          </w:p>
        </w:tc>
        <w:tc>
          <w:tcPr>
            <w:tcW w:w="2093" w:type="pct"/>
            <w:tcBorders>
              <w:top w:val="single" w:color="auto" w:sz="4" w:space="0"/>
              <w:left w:val="single" w:color="auto" w:sz="4" w:space="0"/>
              <w:bottom w:val="single" w:color="auto" w:sz="4" w:space="0"/>
              <w:right w:val="single" w:color="auto" w:sz="4" w:space="0"/>
            </w:tcBorders>
            <w:vAlign w:val="center"/>
          </w:tcPr>
          <w:p w14:paraId="37CA2BA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电话：</w:t>
            </w:r>
          </w:p>
        </w:tc>
      </w:tr>
      <w:tr w14:paraId="7374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trPr>
        <w:tc>
          <w:tcPr>
            <w:tcW w:w="2906" w:type="pct"/>
            <w:tcBorders>
              <w:top w:val="single" w:color="auto" w:sz="4" w:space="0"/>
              <w:left w:val="single" w:color="auto" w:sz="4" w:space="0"/>
              <w:bottom w:val="single" w:color="auto" w:sz="4" w:space="0"/>
              <w:right w:val="single" w:color="auto" w:sz="4" w:space="0"/>
            </w:tcBorders>
            <w:vAlign w:val="center"/>
          </w:tcPr>
          <w:p w14:paraId="75643FE0">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纳税人识别号：126101004372030973</w:t>
            </w:r>
          </w:p>
        </w:tc>
        <w:tc>
          <w:tcPr>
            <w:tcW w:w="2093" w:type="pct"/>
            <w:tcBorders>
              <w:top w:val="single" w:color="auto" w:sz="4" w:space="0"/>
              <w:left w:val="single" w:color="auto" w:sz="4" w:space="0"/>
              <w:bottom w:val="single" w:color="auto" w:sz="4" w:space="0"/>
              <w:right w:val="single" w:color="auto" w:sz="4" w:space="0"/>
            </w:tcBorders>
            <w:vAlign w:val="center"/>
          </w:tcPr>
          <w:p w14:paraId="62558922">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传真：</w:t>
            </w:r>
          </w:p>
        </w:tc>
      </w:tr>
      <w:tr w14:paraId="3C91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2906" w:type="pct"/>
            <w:tcBorders>
              <w:top w:val="single" w:color="auto" w:sz="4" w:space="0"/>
              <w:left w:val="single" w:color="auto" w:sz="4" w:space="0"/>
              <w:bottom w:val="single" w:color="auto" w:sz="4" w:space="0"/>
              <w:right w:val="single" w:color="auto" w:sz="4" w:space="0"/>
            </w:tcBorders>
            <w:vAlign w:val="center"/>
          </w:tcPr>
          <w:p w14:paraId="54D8B969">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开户银行：招商银行西影路支行</w:t>
            </w:r>
          </w:p>
        </w:tc>
        <w:tc>
          <w:tcPr>
            <w:tcW w:w="2093" w:type="pct"/>
            <w:tcBorders>
              <w:top w:val="single" w:color="auto" w:sz="4" w:space="0"/>
              <w:left w:val="single" w:color="auto" w:sz="4" w:space="0"/>
              <w:bottom w:val="single" w:color="auto" w:sz="4" w:space="0"/>
              <w:right w:val="single" w:color="auto" w:sz="4" w:space="0"/>
            </w:tcBorders>
            <w:vAlign w:val="center"/>
          </w:tcPr>
          <w:p w14:paraId="034FF521">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开户银行：</w:t>
            </w:r>
          </w:p>
        </w:tc>
      </w:tr>
      <w:tr w14:paraId="5AA0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906" w:type="pct"/>
            <w:tcBorders>
              <w:top w:val="single" w:color="auto" w:sz="4" w:space="0"/>
              <w:left w:val="single" w:color="auto" w:sz="4" w:space="0"/>
              <w:bottom w:val="single" w:color="auto" w:sz="4" w:space="0"/>
              <w:right w:val="single" w:color="auto" w:sz="4" w:space="0"/>
            </w:tcBorders>
            <w:vAlign w:val="center"/>
          </w:tcPr>
          <w:p w14:paraId="5E547E2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账号：129904468910201</w:t>
            </w:r>
          </w:p>
        </w:tc>
        <w:tc>
          <w:tcPr>
            <w:tcW w:w="2093" w:type="pct"/>
            <w:tcBorders>
              <w:top w:val="single" w:color="auto" w:sz="4" w:space="0"/>
              <w:left w:val="single" w:color="auto" w:sz="4" w:space="0"/>
              <w:bottom w:val="single" w:color="auto" w:sz="4" w:space="0"/>
              <w:right w:val="single" w:color="auto" w:sz="4" w:space="0"/>
            </w:tcBorders>
            <w:vAlign w:val="center"/>
          </w:tcPr>
          <w:p w14:paraId="08F2C4F7">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帐号：</w:t>
            </w:r>
          </w:p>
        </w:tc>
      </w:tr>
      <w:tr w14:paraId="46C7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trPr>
        <w:tc>
          <w:tcPr>
            <w:tcW w:w="2906" w:type="pct"/>
            <w:tcBorders>
              <w:top w:val="single" w:color="auto" w:sz="4" w:space="0"/>
              <w:left w:val="single" w:color="auto" w:sz="4" w:space="0"/>
              <w:bottom w:val="single" w:color="auto" w:sz="4" w:space="0"/>
              <w:right w:val="single" w:color="auto" w:sz="4" w:space="0"/>
            </w:tcBorders>
            <w:vAlign w:val="center"/>
          </w:tcPr>
          <w:p w14:paraId="0B4FB78A">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日期：  年   月    日</w:t>
            </w:r>
          </w:p>
        </w:tc>
        <w:tc>
          <w:tcPr>
            <w:tcW w:w="2093" w:type="pct"/>
            <w:tcBorders>
              <w:top w:val="single" w:color="auto" w:sz="4" w:space="0"/>
              <w:left w:val="single" w:color="auto" w:sz="4" w:space="0"/>
              <w:bottom w:val="single" w:color="auto" w:sz="4" w:space="0"/>
              <w:right w:val="single" w:color="auto" w:sz="4" w:space="0"/>
            </w:tcBorders>
            <w:vAlign w:val="center"/>
          </w:tcPr>
          <w:p w14:paraId="0ADC42A1">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日期： 年   月    日</w:t>
            </w:r>
          </w:p>
        </w:tc>
      </w:tr>
    </w:tbl>
    <w:p w14:paraId="488340E5">
      <w:pPr>
        <w:spacing w:line="360" w:lineRule="auto"/>
        <w:ind w:firstLine="480" w:firstLineChars="200"/>
        <w:rPr>
          <w:rFonts w:hint="eastAsia" w:ascii="宋体" w:hAnsi="宋体" w:eastAsia="宋体" w:cs="Times New Roman"/>
          <w:sz w:val="24"/>
          <w:szCs w:val="24"/>
          <w:highlight w:val="none"/>
        </w:rPr>
      </w:pPr>
    </w:p>
    <w:p w14:paraId="4A84E6DE">
      <w:pPr>
        <w:widowControl/>
        <w:spacing w:line="360" w:lineRule="auto"/>
        <w:jc w:val="left"/>
        <w:rPr>
          <w:rFonts w:ascii="宋体" w:hAnsi="宋体" w:eastAsia="宋体" w:cs="Times New Roman"/>
          <w:kern w:val="0"/>
          <w:sz w:val="24"/>
          <w:szCs w:val="24"/>
          <w:highlight w:val="none"/>
          <w:lang w:eastAsia="zh-Hans"/>
        </w:rPr>
      </w:pPr>
    </w:p>
    <w:p w14:paraId="51773E62">
      <w:pPr>
        <w:rPr>
          <w:rFonts w:hint="eastAsia"/>
          <w:highlight w:val="none"/>
        </w:rPr>
      </w:pPr>
    </w:p>
    <w:p w14:paraId="4C366570">
      <w:pPr>
        <w:rPr>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FF48D"/>
    <w:multiLevelType w:val="singleLevel"/>
    <w:tmpl w:val="2C5FF48D"/>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C56A4"/>
    <w:rsid w:val="4E7E71EB"/>
    <w:rsid w:val="795B6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2860</Words>
  <Characters>2980</Characters>
  <Lines>0</Lines>
  <Paragraphs>0</Paragraphs>
  <TotalTime>0</TotalTime>
  <ScaleCrop>false</ScaleCrop>
  <LinksUpToDate>false</LinksUpToDate>
  <CharactersWithSpaces>3343</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2026-04-15T02:41:00Z</dcterms:created>
  <dc:creator>Administrator</dc:creator>
  <cp:lastModifiedBy>苗子</cp:lastModifiedBy>
  <dcterms:modified xsi:type="dcterms:W3CDTF">2026-04-15T02:59:56Z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EFC949FAF4174DC6A8B2866141913570_12</vt:lpwstr>
  </property>
</Properties>
</file>