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58B29">
      <w:pPr>
        <w:snapToGrid w:val="0"/>
        <w:spacing w:line="360" w:lineRule="auto"/>
        <w:jc w:val="center"/>
        <w:rPr>
          <w:rStyle w:val="4"/>
          <w:rFonts w:hint="default"/>
          <w:color w:val="000000" w:themeColor="text1"/>
          <w:sz w:val="44"/>
          <w:szCs w:val="44"/>
          <w:highlight w:val="none"/>
          <w14:textFill>
            <w14:solidFill>
              <w14:schemeClr w14:val="tx1"/>
            </w14:solidFill>
          </w14:textFill>
        </w:rPr>
      </w:pPr>
    </w:p>
    <w:p w14:paraId="664DEF1F">
      <w:pPr>
        <w:snapToGrid w:val="0"/>
        <w:spacing w:line="360" w:lineRule="auto"/>
        <w:jc w:val="center"/>
        <w:rPr>
          <w:rStyle w:val="4"/>
          <w:rFonts w:hint="default"/>
          <w:color w:val="000000" w:themeColor="text1"/>
          <w:sz w:val="44"/>
          <w:szCs w:val="44"/>
          <w:highlight w:val="none"/>
          <w14:textFill>
            <w14:solidFill>
              <w14:schemeClr w14:val="tx1"/>
            </w14:solidFill>
          </w14:textFill>
        </w:rPr>
      </w:pPr>
    </w:p>
    <w:p w14:paraId="4171ED43">
      <w:pPr>
        <w:snapToGrid w:val="0"/>
        <w:spacing w:line="360" w:lineRule="auto"/>
        <w:jc w:val="center"/>
        <w:rPr>
          <w:rStyle w:val="4"/>
          <w:rFonts w:hint="default"/>
          <w:color w:val="000000" w:themeColor="text1"/>
          <w:sz w:val="44"/>
          <w:szCs w:val="44"/>
          <w:highlight w:val="none"/>
          <w14:textFill>
            <w14:solidFill>
              <w14:schemeClr w14:val="tx1"/>
            </w14:solidFill>
          </w14:textFill>
        </w:rPr>
      </w:pPr>
      <w:r>
        <w:rPr>
          <w:rStyle w:val="4"/>
          <w:rFonts w:hint="default"/>
          <w:color w:val="000000" w:themeColor="text1"/>
          <w:sz w:val="44"/>
          <w:szCs w:val="44"/>
          <w:highlight w:val="none"/>
          <w14:textFill>
            <w14:solidFill>
              <w14:schemeClr w14:val="tx1"/>
            </w14:solidFill>
          </w14:textFill>
        </w:rPr>
        <w:t>西安市建设工程造价服务中心</w:t>
      </w:r>
    </w:p>
    <w:p w14:paraId="1E6B410F">
      <w:pPr>
        <w:snapToGrid w:val="0"/>
        <w:spacing w:line="360" w:lineRule="auto"/>
        <w:jc w:val="center"/>
        <w:rPr>
          <w:rStyle w:val="4"/>
          <w:rFonts w:hint="eastAsia" w:eastAsia="宋体"/>
          <w:color w:val="000000" w:themeColor="text1"/>
          <w:sz w:val="44"/>
          <w:szCs w:val="44"/>
          <w:highlight w:val="none"/>
          <w:lang w:eastAsia="zh-CN"/>
          <w14:textFill>
            <w14:solidFill>
              <w14:schemeClr w14:val="tx1"/>
            </w14:solidFill>
          </w14:textFill>
        </w:rPr>
      </w:pPr>
      <w:r>
        <w:rPr>
          <w:rStyle w:val="4"/>
          <w:rFonts w:hint="default"/>
          <w:color w:val="000000" w:themeColor="text1"/>
          <w:sz w:val="44"/>
          <w:szCs w:val="44"/>
          <w:highlight w:val="none"/>
          <w14:textFill>
            <w14:solidFill>
              <w14:schemeClr w14:val="tx1"/>
            </w14:solidFill>
          </w14:textFill>
        </w:rPr>
        <w:t>西安市建设工程指标信息采集测算</w:t>
      </w:r>
      <w:r>
        <w:rPr>
          <w:rStyle w:val="4"/>
          <w:rFonts w:hint="eastAsia"/>
          <w:color w:val="000000" w:themeColor="text1"/>
          <w:sz w:val="44"/>
          <w:szCs w:val="44"/>
          <w:highlight w:val="none"/>
          <w:lang w:eastAsia="zh-CN"/>
          <w14:textFill>
            <w14:solidFill>
              <w14:schemeClr w14:val="tx1"/>
            </w14:solidFill>
          </w14:textFill>
        </w:rPr>
        <w:t>（</w:t>
      </w:r>
      <w:r>
        <w:rPr>
          <w:rStyle w:val="4"/>
          <w:rFonts w:hint="eastAsia"/>
          <w:color w:val="000000" w:themeColor="text1"/>
          <w:sz w:val="44"/>
          <w:szCs w:val="44"/>
          <w:highlight w:val="none"/>
          <w:lang w:val="en-US" w:eastAsia="zh-CN"/>
          <w14:textFill>
            <w14:solidFill>
              <w14:schemeClr w14:val="tx1"/>
            </w14:solidFill>
          </w14:textFill>
        </w:rPr>
        <w:t>二次</w:t>
      </w:r>
      <w:bookmarkStart w:id="1" w:name="_GoBack"/>
      <w:bookmarkEnd w:id="1"/>
      <w:r>
        <w:rPr>
          <w:rStyle w:val="4"/>
          <w:rFonts w:hint="eastAsia"/>
          <w:color w:val="000000" w:themeColor="text1"/>
          <w:sz w:val="44"/>
          <w:szCs w:val="44"/>
          <w:highlight w:val="none"/>
          <w:lang w:eastAsia="zh-CN"/>
          <w14:textFill>
            <w14:solidFill>
              <w14:schemeClr w14:val="tx1"/>
            </w14:solidFill>
          </w14:textFill>
        </w:rPr>
        <w:t>）</w:t>
      </w:r>
    </w:p>
    <w:p w14:paraId="0561779D">
      <w:pPr>
        <w:jc w:val="center"/>
        <w:rPr>
          <w:rFonts w:ascii="宋体" w:hAnsi="宋体" w:cs="宋体"/>
          <w:b/>
          <w:color w:val="000000" w:themeColor="text1"/>
          <w:sz w:val="72"/>
          <w:szCs w:val="72"/>
          <w:highlight w:val="none"/>
          <w14:textFill>
            <w14:solidFill>
              <w14:schemeClr w14:val="tx1"/>
            </w14:solidFill>
          </w14:textFill>
        </w:rPr>
      </w:pPr>
    </w:p>
    <w:p w14:paraId="5A35A0DB">
      <w:pPr>
        <w:jc w:val="center"/>
        <w:rPr>
          <w:rFonts w:ascii="宋体" w:hAnsi="宋体" w:cs="宋体"/>
          <w:b/>
          <w:color w:val="000000" w:themeColor="text1"/>
          <w:sz w:val="28"/>
          <w:szCs w:val="28"/>
          <w:highlight w:val="none"/>
          <w14:textFill>
            <w14:solidFill>
              <w14:schemeClr w14:val="tx1"/>
            </w14:solidFill>
          </w14:textFill>
        </w:rPr>
      </w:pPr>
    </w:p>
    <w:p w14:paraId="709994D9">
      <w:pPr>
        <w:jc w:val="center"/>
        <w:rPr>
          <w:rFonts w:ascii="宋体" w:hAnsi="宋体" w:cs="宋体"/>
          <w:b/>
          <w:color w:val="000000" w:themeColor="text1"/>
          <w:sz w:val="72"/>
          <w:szCs w:val="72"/>
          <w:highlight w:val="none"/>
          <w14:textFill>
            <w14:solidFill>
              <w14:schemeClr w14:val="tx1"/>
            </w14:solidFill>
          </w14:textFill>
        </w:rPr>
      </w:pPr>
    </w:p>
    <w:p w14:paraId="179DFD1A">
      <w:pPr>
        <w:jc w:val="center"/>
        <w:rPr>
          <w:rFonts w:ascii="宋体" w:hAnsi="宋体" w:cs="宋体"/>
          <w:b/>
          <w:color w:val="000000" w:themeColor="text1"/>
          <w:sz w:val="72"/>
          <w:szCs w:val="72"/>
          <w:highlight w:val="none"/>
          <w14:textFill>
            <w14:solidFill>
              <w14:schemeClr w14:val="tx1"/>
            </w14:solidFill>
          </w14:textFill>
        </w:rPr>
      </w:pPr>
      <w:r>
        <w:rPr>
          <w:rFonts w:hint="eastAsia" w:ascii="宋体" w:hAnsi="宋体" w:cs="宋体"/>
          <w:b/>
          <w:color w:val="000000" w:themeColor="text1"/>
          <w:sz w:val="72"/>
          <w:szCs w:val="72"/>
          <w:highlight w:val="none"/>
          <w14:textFill>
            <w14:solidFill>
              <w14:schemeClr w14:val="tx1"/>
            </w14:solidFill>
          </w14:textFill>
        </w:rPr>
        <w:t>服 务 合 同</w:t>
      </w:r>
    </w:p>
    <w:p w14:paraId="0323C85F">
      <w:pPr>
        <w:jc w:val="center"/>
        <w:rPr>
          <w:rFonts w:ascii="黑体" w:eastAsia="黑体"/>
          <w:color w:val="000000" w:themeColor="text1"/>
          <w:sz w:val="30"/>
          <w:szCs w:val="30"/>
          <w:highlight w:val="none"/>
          <w14:textFill>
            <w14:solidFill>
              <w14:schemeClr w14:val="tx1"/>
            </w14:solidFill>
          </w14:textFill>
        </w:rPr>
      </w:pPr>
    </w:p>
    <w:p w14:paraId="6106B237">
      <w:pPr>
        <w:jc w:val="center"/>
        <w:rPr>
          <w:rFonts w:ascii="黑体" w:eastAsia="黑体"/>
          <w:color w:val="000000" w:themeColor="text1"/>
          <w:sz w:val="30"/>
          <w:szCs w:val="30"/>
          <w:highlight w:val="none"/>
          <w14:textFill>
            <w14:solidFill>
              <w14:schemeClr w14:val="tx1"/>
            </w14:solidFill>
          </w14:textFill>
        </w:rPr>
      </w:pPr>
    </w:p>
    <w:p w14:paraId="6BCA997B">
      <w:pPr>
        <w:jc w:val="center"/>
        <w:rPr>
          <w:rFonts w:ascii="黑体" w:eastAsia="黑体"/>
          <w:color w:val="000000" w:themeColor="text1"/>
          <w:sz w:val="30"/>
          <w:szCs w:val="30"/>
          <w:highlight w:val="none"/>
          <w14:textFill>
            <w14:solidFill>
              <w14:schemeClr w14:val="tx1"/>
            </w14:solidFill>
          </w14:textFill>
        </w:rPr>
      </w:pPr>
    </w:p>
    <w:p w14:paraId="2A991DFA">
      <w:pPr>
        <w:rPr>
          <w:rFonts w:ascii="宋体" w:hAnsi="宋体" w:cs="宋体"/>
          <w:b/>
          <w:bCs/>
          <w:color w:val="000000" w:themeColor="text1"/>
          <w:sz w:val="32"/>
          <w:szCs w:val="32"/>
          <w:highlight w:val="none"/>
          <w14:textFill>
            <w14:solidFill>
              <w14:schemeClr w14:val="tx1"/>
            </w14:solidFill>
          </w14:textFill>
        </w:rPr>
      </w:pPr>
    </w:p>
    <w:p w14:paraId="0AF32A02">
      <w:pPr>
        <w:rPr>
          <w:rFonts w:ascii="宋体" w:hAnsi="宋体" w:cs="宋体"/>
          <w:b/>
          <w:bCs/>
          <w:color w:val="000000" w:themeColor="text1"/>
          <w:sz w:val="32"/>
          <w:szCs w:val="32"/>
          <w:highlight w:val="none"/>
          <w14:textFill>
            <w14:solidFill>
              <w14:schemeClr w14:val="tx1"/>
            </w14:solidFill>
          </w14:textFill>
        </w:rPr>
      </w:pPr>
    </w:p>
    <w:p w14:paraId="7A292980">
      <w:pPr>
        <w:rPr>
          <w:rFonts w:ascii="宋体" w:hAnsi="宋体" w:cs="宋体"/>
          <w:b/>
          <w:bCs/>
          <w:color w:val="000000" w:themeColor="text1"/>
          <w:sz w:val="18"/>
          <w:szCs w:val="18"/>
          <w:highlight w:val="none"/>
          <w14:textFill>
            <w14:solidFill>
              <w14:schemeClr w14:val="tx1"/>
            </w14:solidFill>
          </w14:textFill>
        </w:rPr>
      </w:pPr>
    </w:p>
    <w:p w14:paraId="6A2D7305">
      <w:pPr>
        <w:jc w:val="center"/>
        <w:rPr>
          <w:rFonts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甲方：西安市建设工程造价服务中心</w:t>
      </w:r>
    </w:p>
    <w:p w14:paraId="562FDC1B">
      <w:pPr>
        <w:ind w:firstLine="1606" w:firstLineChars="500"/>
        <w:rPr>
          <w:rFonts w:ascii="宋体" w:hAnsi="宋体" w:cs="宋体"/>
          <w:b/>
          <w:bCs/>
          <w:color w:val="000000" w:themeColor="text1"/>
          <w:sz w:val="32"/>
          <w:szCs w:val="32"/>
          <w:highlight w:val="none"/>
          <w:u w:val="singl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乙方：</w:t>
      </w:r>
      <w:r>
        <w:rPr>
          <w:rFonts w:hint="eastAsia" w:ascii="宋体" w:hAnsi="宋体" w:cs="宋体"/>
          <w:b/>
          <w:bCs/>
          <w:color w:val="000000" w:themeColor="text1"/>
          <w:sz w:val="32"/>
          <w:szCs w:val="32"/>
          <w:highlight w:val="none"/>
          <w:u w:val="single"/>
          <w14:textFill>
            <w14:solidFill>
              <w14:schemeClr w14:val="tx1"/>
            </w14:solidFill>
          </w14:textFill>
        </w:rPr>
        <w:t xml:space="preserve">                          </w:t>
      </w:r>
    </w:p>
    <w:p w14:paraId="250AECD0">
      <w:pPr>
        <w:ind w:firstLine="1928" w:firstLineChars="600"/>
        <w:rPr>
          <w:rFonts w:ascii="黑体" w:eastAsia="黑体"/>
          <w:b/>
          <w:bCs/>
          <w:color w:val="000000" w:themeColor="text1"/>
          <w:sz w:val="32"/>
          <w:szCs w:val="32"/>
          <w:highlight w:val="none"/>
          <w14:textFill>
            <w14:solidFill>
              <w14:schemeClr w14:val="tx1"/>
            </w14:solidFill>
          </w14:textFill>
        </w:rPr>
      </w:pPr>
    </w:p>
    <w:p w14:paraId="01BE00CB">
      <w:pPr>
        <w:ind w:firstLine="1928" w:firstLineChars="600"/>
        <w:rPr>
          <w:rFonts w:ascii="黑体" w:eastAsia="黑体"/>
          <w:b/>
          <w:bCs/>
          <w:color w:val="000000" w:themeColor="text1"/>
          <w:sz w:val="32"/>
          <w:szCs w:val="32"/>
          <w:highlight w:val="none"/>
          <w14:textFill>
            <w14:solidFill>
              <w14:schemeClr w14:val="tx1"/>
            </w14:solidFill>
          </w14:textFill>
        </w:rPr>
      </w:pPr>
    </w:p>
    <w:p w14:paraId="6FB873AC">
      <w:pPr>
        <w:autoSpaceDE w:val="0"/>
        <w:autoSpaceDN w:val="0"/>
        <w:adjustRightInd w:val="0"/>
        <w:snapToGrid w:val="0"/>
        <w:spacing w:line="360" w:lineRule="auto"/>
        <w:ind w:firstLine="643" w:firstLineChars="200"/>
        <w:jc w:val="center"/>
        <w:rPr>
          <w:rFonts w:hint="eastAsia" w:ascii="宋体" w:hAnsi="宋体" w:cs="宋体"/>
          <w:b/>
          <w:bCs/>
          <w:color w:val="000000" w:themeColor="text1"/>
          <w:sz w:val="32"/>
          <w:szCs w:val="32"/>
          <w:highlight w:val="none"/>
          <w14:textFill>
            <w14:solidFill>
              <w14:schemeClr w14:val="tx1"/>
            </w14:solidFill>
          </w14:textFill>
        </w:rPr>
      </w:pPr>
    </w:p>
    <w:p w14:paraId="1F2A056F">
      <w:pPr>
        <w:autoSpaceDE w:val="0"/>
        <w:autoSpaceDN w:val="0"/>
        <w:adjustRightInd w:val="0"/>
        <w:snapToGrid w:val="0"/>
        <w:spacing w:line="360" w:lineRule="auto"/>
        <w:ind w:firstLine="643" w:firstLineChars="200"/>
        <w:jc w:val="center"/>
        <w:rPr>
          <w:rFonts w:hint="eastAsia" w:ascii="宋体" w:hAnsi="宋体" w:cs="宋体"/>
          <w:b/>
          <w:bCs/>
          <w:color w:val="000000" w:themeColor="text1"/>
          <w:sz w:val="32"/>
          <w:szCs w:val="32"/>
          <w:highlight w:val="none"/>
          <w14:textFill>
            <w14:solidFill>
              <w14:schemeClr w14:val="tx1"/>
            </w14:solidFill>
          </w14:textFill>
        </w:rPr>
      </w:pPr>
    </w:p>
    <w:p w14:paraId="3C34C0EC">
      <w:pPr>
        <w:autoSpaceDE w:val="0"/>
        <w:autoSpaceDN w:val="0"/>
        <w:adjustRightInd w:val="0"/>
        <w:snapToGrid w:val="0"/>
        <w:spacing w:line="360" w:lineRule="auto"/>
        <w:jc w:val="center"/>
        <w:rPr>
          <w:rFonts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服务合同</w:t>
      </w:r>
    </w:p>
    <w:p w14:paraId="2D87F08C">
      <w:pPr>
        <w:autoSpaceDE w:val="0"/>
        <w:autoSpaceDN w:val="0"/>
        <w:adjustRightInd w:val="0"/>
        <w:snapToGrid w:val="0"/>
        <w:spacing w:line="360" w:lineRule="auto"/>
        <w:ind w:firstLine="480" w:firstLineChars="200"/>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甲方：西安市建设工程造价服务中心</w:t>
      </w:r>
    </w:p>
    <w:p w14:paraId="53579BFE">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乙方：</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p>
    <w:p w14:paraId="0AE3D17D">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bookmarkStart w:id="0" w:name="_Toc8479"/>
      <w:r>
        <w:rPr>
          <w:rFonts w:hint="eastAsia" w:ascii="宋体" w:hAnsi="宋体" w:cs="宋体"/>
          <w:color w:val="000000" w:themeColor="text1"/>
          <w:sz w:val="24"/>
          <w:highlight w:val="none"/>
          <w14:textFill>
            <w14:solidFill>
              <w14:schemeClr w14:val="tx1"/>
            </w14:solidFill>
          </w14:textFill>
        </w:rPr>
        <w:t>根据《中华人民共和国政府采购法》《中华人民共和国民法典》及相关法律规定，甲乙双方本着平等互利、诚实信用的原则，经甲乙方双方充分协商，就相关事宜签定如下：</w:t>
      </w:r>
      <w:bookmarkEnd w:id="0"/>
    </w:p>
    <w:p w14:paraId="742A1461">
      <w:pPr>
        <w:autoSpaceDE w:val="0"/>
        <w:autoSpaceDN w:val="0"/>
        <w:adjustRightInd w:val="0"/>
        <w:snapToGrid w:val="0"/>
        <w:spacing w:line="360" w:lineRule="auto"/>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一、项目概况</w:t>
      </w:r>
      <w:r>
        <w:rPr>
          <w:rFonts w:hint="eastAsia" w:ascii="宋体" w:hAnsi="宋体" w:cs="宋体"/>
          <w:b/>
          <w:bCs/>
          <w:color w:val="000000" w:themeColor="text1"/>
          <w:kern w:val="0"/>
          <w:sz w:val="24"/>
          <w:highlight w:val="none"/>
          <w14:textFill>
            <w14:solidFill>
              <w14:schemeClr w14:val="tx1"/>
            </w14:solidFill>
          </w14:textFill>
        </w:rPr>
        <w:t xml:space="preserve"> </w:t>
      </w:r>
    </w:p>
    <w:p w14:paraId="75A14A3E">
      <w:pPr>
        <w:autoSpaceDE w:val="0"/>
        <w:autoSpaceDN w:val="0"/>
        <w:adjustRightInd w:val="0"/>
        <w:snapToGrid w:val="0"/>
        <w:spacing w:line="360" w:lineRule="auto"/>
        <w:ind w:firstLine="480" w:firstLineChars="200"/>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为西安市建设工程造价服务中心提供建设工程造价信息数据采集、测算及分析服务。服务内容涵盖建筑工程人工成本、城市住宅造价、远郊区县材料价格及典型工程造价案例分析，为西安市建设工程造价服务中心提供及时、准确、贴合市场实际的数据支撑，为市场主体提供参考依据。</w:t>
      </w:r>
    </w:p>
    <w:p w14:paraId="460B66AB">
      <w:pPr>
        <w:pStyle w:val="6"/>
        <w:adjustRightInd w:val="0"/>
        <w:snapToGrid w:val="0"/>
        <w:spacing w:line="360" w:lineRule="auto"/>
        <w:ind w:firstLine="482" w:firstLineChars="200"/>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cs="宋体"/>
          <w:b/>
          <w:bCs/>
          <w:color w:val="000000" w:themeColor="text1"/>
          <w:sz w:val="24"/>
          <w:highlight w:val="none"/>
          <w14:textFill>
            <w14:solidFill>
              <w14:schemeClr w14:val="tx1"/>
            </w14:solidFill>
          </w14:textFill>
        </w:rPr>
        <w:t>二、服务期限：</w:t>
      </w:r>
      <w:r>
        <w:rPr>
          <w:rFonts w:ascii="宋体" w:hAnsi="宋体" w:eastAsia="宋体" w:cs="宋体"/>
          <w:bCs/>
          <w:color w:val="000000" w:themeColor="text1"/>
          <w:sz w:val="24"/>
          <w:szCs w:val="24"/>
          <w:highlight w:val="none"/>
          <w14:textFill>
            <w14:solidFill>
              <w14:schemeClr w14:val="tx1"/>
            </w14:solidFill>
          </w14:textFill>
        </w:rPr>
        <w:t>自合同签订之日起至2</w:t>
      </w:r>
      <w:r>
        <w:rPr>
          <w:rFonts w:hint="default" w:ascii="宋体" w:hAnsi="宋体" w:eastAsia="宋体" w:cs="宋体"/>
          <w:bCs/>
          <w:color w:val="000000" w:themeColor="text1"/>
          <w:sz w:val="24"/>
          <w:szCs w:val="24"/>
          <w:highlight w:val="none"/>
          <w14:textFill>
            <w14:solidFill>
              <w14:schemeClr w14:val="tx1"/>
            </w14:solidFill>
          </w14:textFill>
        </w:rPr>
        <w:t>026</w:t>
      </w:r>
      <w:r>
        <w:rPr>
          <w:rFonts w:ascii="宋体" w:hAnsi="宋体" w:eastAsia="宋体" w:cs="宋体"/>
          <w:bCs/>
          <w:color w:val="000000" w:themeColor="text1"/>
          <w:sz w:val="24"/>
          <w:szCs w:val="24"/>
          <w:highlight w:val="none"/>
          <w14:textFill>
            <w14:solidFill>
              <w14:schemeClr w14:val="tx1"/>
            </w14:solidFill>
          </w14:textFill>
        </w:rPr>
        <w:t>年底（指标信息采集测算涵盖2026年全年）。</w:t>
      </w:r>
    </w:p>
    <w:p w14:paraId="66A7F206">
      <w:pPr>
        <w:autoSpaceDE w:val="0"/>
        <w:autoSpaceDN w:val="0"/>
        <w:adjustRightInd w:val="0"/>
        <w:snapToGrid w:val="0"/>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三、合同价款：</w:t>
      </w:r>
      <w:r>
        <w:rPr>
          <w:rFonts w:hint="eastAsia" w:ascii="宋体" w:hAnsi="宋体" w:cs="宋体"/>
          <w:color w:val="000000" w:themeColor="text1"/>
          <w:sz w:val="24"/>
          <w:highlight w:val="none"/>
          <w14:textFill>
            <w14:solidFill>
              <w14:schemeClr w14:val="tx1"/>
            </w14:solidFill>
          </w14:textFill>
        </w:rPr>
        <w:t>人民币</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.00元）</w:t>
      </w:r>
    </w:p>
    <w:p w14:paraId="0524048D">
      <w:pPr>
        <w:autoSpaceDE w:val="0"/>
        <w:autoSpaceDN w:val="0"/>
        <w:adjustRightInd w:val="0"/>
        <w:snapToGrid w:val="0"/>
        <w:spacing w:line="360" w:lineRule="auto"/>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四、付款方式</w:t>
      </w:r>
    </w:p>
    <w:p w14:paraId="2FA09DEB">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每季度最后一个月，甲方对乙方本季度已完成工作量根据验收情况付款。验收合格后，乙方持政府采购项目验收单（一式三份）及等额发票与甲方办理结算，甲方在7日内以银行转账方式支付相应价款。付款比例为一、二、三、四季度分别支付合同总价款的23%、27%、23%、27%，达到付款条件起7日内，支付合同总金额的100.00%。</w:t>
      </w:r>
    </w:p>
    <w:p w14:paraId="2F1B3860">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（二）支付方式：银行转账。</w:t>
      </w:r>
    </w:p>
    <w:p w14:paraId="2E94CB56">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（三）结算方式：验收合格后填写政府采购项目验收单（一式三份）,发票（按合同对应价款开采购人），供应商持发票、政府采购项目验收单，与采购人结算。</w:t>
      </w:r>
    </w:p>
    <w:p w14:paraId="43DA3456">
      <w:pPr>
        <w:autoSpaceDE w:val="0"/>
        <w:autoSpaceDN w:val="0"/>
        <w:adjustRightInd w:val="0"/>
        <w:snapToGrid w:val="0"/>
        <w:spacing w:line="360" w:lineRule="auto"/>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五、验收</w:t>
      </w:r>
    </w:p>
    <w:p w14:paraId="356B14FE">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（一）项目整体验收要求</w:t>
      </w:r>
    </w:p>
    <w:p w14:paraId="7BE5CC39">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（二）验收依据</w:t>
      </w:r>
    </w:p>
    <w:p w14:paraId="2E099107">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1.竞争性磋商文件、响应文件、澄清表（函）；</w:t>
      </w:r>
    </w:p>
    <w:p w14:paraId="4F19624F">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2.本合同及附件文本；</w:t>
      </w:r>
    </w:p>
    <w:p w14:paraId="020E4617">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3.国家及行业现行的标准和技术规范。</w:t>
      </w:r>
    </w:p>
    <w:p w14:paraId="4B47FF2C">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（三）成交供应商应向采购人提交项目实施过程中的所有资料,以便采购人日后管理和维护。</w:t>
      </w:r>
    </w:p>
    <w:p w14:paraId="0D38785D">
      <w:pPr>
        <w:autoSpaceDE w:val="0"/>
        <w:autoSpaceDN w:val="0"/>
        <w:adjustRightInd w:val="0"/>
        <w:snapToGrid w:val="0"/>
        <w:spacing w:line="360" w:lineRule="auto"/>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六、质量保证</w:t>
      </w:r>
    </w:p>
    <w:p w14:paraId="354D9D71">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（一）服务方案和方式科学、可行，人员配置合理，全面满足磋商要求。</w:t>
      </w:r>
    </w:p>
    <w:p w14:paraId="056FF07D">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（二）符合国家有关服务规范要求，确保设备达到最佳运行状态。</w:t>
      </w:r>
    </w:p>
    <w:p w14:paraId="4E4F277A">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（三）服务商提供的服务，若发生侵权而产生的一切后果，由服务商负责。采购人保留索赔权力。</w:t>
      </w:r>
    </w:p>
    <w:p w14:paraId="62BE1F3A">
      <w:pPr>
        <w:autoSpaceDE w:val="0"/>
        <w:autoSpaceDN w:val="0"/>
        <w:adjustRightInd w:val="0"/>
        <w:snapToGrid w:val="0"/>
        <w:spacing w:line="360" w:lineRule="auto"/>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七、成果</w:t>
      </w:r>
    </w:p>
    <w:p w14:paraId="75361EAB">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乙方依据本项目竞争性磋商文件列明的服务内容要求，按时完成各种表格及文件的上报，并形成电子版。</w:t>
      </w:r>
    </w:p>
    <w:p w14:paraId="32A9D18C">
      <w:pPr>
        <w:autoSpaceDE w:val="0"/>
        <w:autoSpaceDN w:val="0"/>
        <w:adjustRightInd w:val="0"/>
        <w:snapToGrid w:val="0"/>
        <w:spacing w:line="360" w:lineRule="auto"/>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八、服务内容和服务要求</w:t>
      </w:r>
    </w:p>
    <w:p w14:paraId="7BA27012">
      <w:pPr>
        <w:pStyle w:val="6"/>
        <w:adjustRightInd w:val="0"/>
        <w:snapToGrid w:val="0"/>
        <w:spacing w:line="360" w:lineRule="auto"/>
        <w:ind w:firstLine="482" w:firstLineChars="200"/>
        <w:outlineLvl w:val="2"/>
        <w:rPr>
          <w:rFonts w:hint="default" w:ascii="宋体" w:hAnsi="宋体" w:eastAsia="宋体" w:cs="宋体"/>
          <w:b/>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（一）服务团队人员要求</w:t>
      </w:r>
    </w:p>
    <w:p w14:paraId="20502D3B">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1</w:t>
      </w:r>
      <w:r>
        <w:rPr>
          <w:rFonts w:hint="default" w:ascii="宋体" w:hAnsi="宋体" w:eastAsia="宋体" w:cs="宋体"/>
          <w:bCs/>
          <w:color w:val="000000" w:themeColor="text1"/>
          <w:sz w:val="24"/>
          <w:szCs w:val="24"/>
          <w:highlight w:val="none"/>
          <w14:textFill>
            <w14:solidFill>
              <w14:schemeClr w14:val="tx1"/>
            </w14:solidFill>
          </w14:textFill>
        </w:rPr>
        <w:t>.</w:t>
      </w:r>
      <w:r>
        <w:rPr>
          <w:rFonts w:ascii="宋体" w:hAnsi="宋体" w:eastAsia="宋体" w:cs="宋体"/>
          <w:bCs/>
          <w:color w:val="000000" w:themeColor="text1"/>
          <w:sz w:val="24"/>
          <w:szCs w:val="24"/>
          <w:highlight w:val="none"/>
          <w14:textFill>
            <w14:solidFill>
              <w14:schemeClr w14:val="tx1"/>
            </w14:solidFill>
          </w14:textFill>
        </w:rPr>
        <w:t>乙方须组建由一级注册造价工程师、二级注册造价工程师、数据统计、物价专业人员等组成的不少于9人的专业工作团队。</w:t>
      </w:r>
    </w:p>
    <w:p w14:paraId="0559D64B">
      <w:pPr>
        <w:adjustRightInd w:val="0"/>
        <w:snapToGrid w:val="0"/>
        <w:spacing w:line="360" w:lineRule="auto"/>
        <w:ind w:firstLine="480" w:firstLineChars="200"/>
        <w:rPr>
          <w:rFonts w:ascii="宋体" w:hAnsi="宋体" w:eastAsia="宋体" w:cs="宋体"/>
          <w:bCs/>
          <w:color w:val="000000" w:themeColor="text1"/>
          <w:kern w:val="0"/>
          <w:sz w:val="24"/>
          <w:highlight w:val="none"/>
          <w14:textFill>
            <w14:solidFill>
              <w14:schemeClr w14:val="tx1"/>
            </w14:solidFill>
          </w14:textFill>
        </w:rPr>
      </w:pPr>
      <w:r>
        <w:rPr>
          <w:rFonts w:ascii="宋体" w:hAnsi="宋体" w:eastAsia="宋体" w:cs="宋体"/>
          <w:bCs/>
          <w:color w:val="000000" w:themeColor="text1"/>
          <w:kern w:val="0"/>
          <w:sz w:val="24"/>
          <w:highlight w:val="none"/>
          <w14:textFill>
            <w14:solidFill>
              <w14:schemeClr w14:val="tx1"/>
            </w14:solidFill>
          </w14:textFill>
        </w:rPr>
        <w:t>2.</w:t>
      </w:r>
      <w:r>
        <w:rPr>
          <w:rFonts w:hint="eastAsia" w:ascii="宋体" w:hAnsi="宋体" w:eastAsia="宋体" w:cs="宋体"/>
          <w:bCs/>
          <w:color w:val="000000" w:themeColor="text1"/>
          <w:kern w:val="0"/>
          <w:sz w:val="24"/>
          <w:highlight w:val="none"/>
          <w14:textFill>
            <w14:solidFill>
              <w14:schemeClr w14:val="tx1"/>
            </w14:solidFill>
          </w14:textFill>
        </w:rPr>
        <w:t>乙方除拟派</w:t>
      </w:r>
      <w:r>
        <w:rPr>
          <w:rFonts w:ascii="宋体" w:hAnsi="宋体" w:eastAsia="宋体" w:cs="宋体"/>
          <w:bCs/>
          <w:color w:val="000000" w:themeColor="text1"/>
          <w:sz w:val="24"/>
          <w:highlight w:val="none"/>
          <w14:textFill>
            <w14:solidFill>
              <w14:schemeClr w14:val="tx1"/>
            </w14:solidFill>
          </w14:textFill>
        </w:rPr>
        <w:t>总</w:t>
      </w:r>
      <w:r>
        <w:rPr>
          <w:rFonts w:hint="eastAsia" w:ascii="宋体" w:hAnsi="宋体" w:eastAsia="宋体" w:cs="宋体"/>
          <w:bCs/>
          <w:color w:val="000000" w:themeColor="text1"/>
          <w:kern w:val="0"/>
          <w:sz w:val="24"/>
          <w:highlight w:val="none"/>
          <w14:textFill>
            <w14:solidFill>
              <w14:schemeClr w14:val="tx1"/>
            </w14:solidFill>
          </w14:textFill>
        </w:rPr>
        <w:t>项目负责人外，还需拟派1人作为</w:t>
      </w:r>
      <w:r>
        <w:rPr>
          <w:rFonts w:ascii="宋体" w:hAnsi="宋体" w:eastAsia="宋体" w:cs="宋体"/>
          <w:color w:val="000000" w:themeColor="text1"/>
          <w:sz w:val="24"/>
          <w:highlight w:val="none"/>
          <w14:textFill>
            <w14:solidFill>
              <w14:schemeClr w14:val="tx1"/>
            </w14:solidFill>
          </w14:textFill>
        </w:rPr>
        <w:t>建筑</w:t>
      </w:r>
      <w:r>
        <w:rPr>
          <w:rFonts w:ascii="宋体" w:hAnsi="宋体" w:eastAsia="宋体" w:cs="宋体"/>
          <w:bCs/>
          <w:color w:val="000000" w:themeColor="text1"/>
          <w:kern w:val="0"/>
          <w:sz w:val="24"/>
          <w:highlight w:val="none"/>
          <w14:textFill>
            <w14:solidFill>
              <w14:schemeClr w14:val="tx1"/>
            </w14:solidFill>
          </w14:textFill>
        </w:rPr>
        <w:t>工程人工成本</w:t>
      </w:r>
      <w:r>
        <w:rPr>
          <w:rFonts w:hint="eastAsia" w:ascii="宋体" w:hAnsi="宋体" w:eastAsia="宋体" w:cs="宋体"/>
          <w:bCs/>
          <w:color w:val="000000" w:themeColor="text1"/>
          <w:kern w:val="0"/>
          <w:sz w:val="24"/>
          <w:highlight w:val="none"/>
          <w14:textFill>
            <w14:solidFill>
              <w14:schemeClr w14:val="tx1"/>
            </w14:solidFill>
          </w14:textFill>
        </w:rPr>
        <w:t>部分的负责人、1人作为</w:t>
      </w:r>
      <w:r>
        <w:rPr>
          <w:rFonts w:ascii="宋体" w:hAnsi="宋体" w:eastAsia="宋体" w:cs="宋体"/>
          <w:bCs/>
          <w:color w:val="000000" w:themeColor="text1"/>
          <w:kern w:val="0"/>
          <w:sz w:val="24"/>
          <w:highlight w:val="none"/>
          <w14:textFill>
            <w14:solidFill>
              <w14:schemeClr w14:val="tx1"/>
            </w14:solidFill>
          </w14:textFill>
        </w:rPr>
        <w:t>城市住宅建筑工程造价信息</w:t>
      </w:r>
      <w:r>
        <w:rPr>
          <w:rFonts w:hint="eastAsia" w:ascii="宋体" w:hAnsi="宋体" w:eastAsia="宋体" w:cs="宋体"/>
          <w:bCs/>
          <w:color w:val="000000" w:themeColor="text1"/>
          <w:kern w:val="0"/>
          <w:sz w:val="24"/>
          <w:highlight w:val="none"/>
          <w14:textFill>
            <w14:solidFill>
              <w14:schemeClr w14:val="tx1"/>
            </w14:solidFill>
          </w14:textFill>
        </w:rPr>
        <w:t>（含典型</w:t>
      </w:r>
      <w:r>
        <w:rPr>
          <w:rFonts w:ascii="宋体" w:hAnsi="宋体" w:eastAsia="宋体" w:cs="宋体"/>
          <w:bCs/>
          <w:color w:val="000000" w:themeColor="text1"/>
          <w:kern w:val="0"/>
          <w:sz w:val="24"/>
          <w:highlight w:val="none"/>
          <w14:textFill>
            <w14:solidFill>
              <w14:schemeClr w14:val="tx1"/>
            </w14:solidFill>
          </w14:textFill>
        </w:rPr>
        <w:t>工程</w:t>
      </w:r>
      <w:r>
        <w:rPr>
          <w:rFonts w:hint="eastAsia" w:ascii="宋体" w:hAnsi="宋体" w:eastAsia="宋体" w:cs="宋体"/>
          <w:bCs/>
          <w:color w:val="000000" w:themeColor="text1"/>
          <w:kern w:val="0"/>
          <w:sz w:val="24"/>
          <w:highlight w:val="none"/>
          <w14:textFill>
            <w14:solidFill>
              <w14:schemeClr w14:val="tx1"/>
            </w14:solidFill>
          </w14:textFill>
        </w:rPr>
        <w:t>项目</w:t>
      </w:r>
      <w:r>
        <w:rPr>
          <w:rFonts w:ascii="宋体" w:hAnsi="宋体" w:eastAsia="宋体" w:cs="宋体"/>
          <w:bCs/>
          <w:color w:val="000000" w:themeColor="text1"/>
          <w:kern w:val="0"/>
          <w:sz w:val="24"/>
          <w:highlight w:val="none"/>
          <w14:textFill>
            <w14:solidFill>
              <w14:schemeClr w14:val="tx1"/>
            </w14:solidFill>
          </w14:textFill>
        </w:rPr>
        <w:t>造价案例</w:t>
      </w:r>
      <w:r>
        <w:rPr>
          <w:rFonts w:hint="eastAsia" w:ascii="宋体" w:hAnsi="宋体" w:eastAsia="宋体" w:cs="宋体"/>
          <w:bCs/>
          <w:color w:val="000000" w:themeColor="text1"/>
          <w:kern w:val="0"/>
          <w:sz w:val="24"/>
          <w:highlight w:val="none"/>
          <w14:textFill>
            <w14:solidFill>
              <w14:schemeClr w14:val="tx1"/>
            </w14:solidFill>
          </w14:textFill>
        </w:rPr>
        <w:t>分析）部分的负责人、1人作为</w:t>
      </w:r>
      <w:r>
        <w:rPr>
          <w:rFonts w:ascii="宋体" w:hAnsi="宋体" w:eastAsia="宋体" w:cs="宋体"/>
          <w:bCs/>
          <w:color w:val="000000" w:themeColor="text1"/>
          <w:kern w:val="0"/>
          <w:sz w:val="24"/>
          <w:highlight w:val="none"/>
          <w14:textFill>
            <w14:solidFill>
              <w14:schemeClr w14:val="tx1"/>
            </w14:solidFill>
          </w14:textFill>
        </w:rPr>
        <w:t>建筑材料价格信息</w:t>
      </w:r>
      <w:r>
        <w:rPr>
          <w:rFonts w:hint="eastAsia" w:ascii="宋体" w:hAnsi="宋体" w:eastAsia="宋体" w:cs="宋体"/>
          <w:bCs/>
          <w:color w:val="000000" w:themeColor="text1"/>
          <w:kern w:val="0"/>
          <w:sz w:val="24"/>
          <w:highlight w:val="none"/>
          <w14:textFill>
            <w14:solidFill>
              <w14:schemeClr w14:val="tx1"/>
            </w14:solidFill>
          </w14:textFill>
        </w:rPr>
        <w:t>部分的负责人，且均应具备一级注册造价工程师执业资格并在本单位注册。</w:t>
      </w:r>
    </w:p>
    <w:p w14:paraId="31DFDAE2">
      <w:pPr>
        <w:adjustRightInd w:val="0"/>
        <w:snapToGrid w:val="0"/>
        <w:spacing w:line="360" w:lineRule="auto"/>
        <w:ind w:firstLine="480" w:firstLineChars="200"/>
        <w:rPr>
          <w:rFonts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bCs/>
          <w:color w:val="000000" w:themeColor="text1"/>
          <w:kern w:val="0"/>
          <w:sz w:val="24"/>
          <w:highlight w:val="none"/>
          <w14:textFill>
            <w14:solidFill>
              <w14:schemeClr w14:val="tx1"/>
            </w14:solidFill>
          </w14:textFill>
        </w:rPr>
        <w:t>除上述人员之外，乙方还应配备不少于3名二级或以上注册造价工程师并在本单位注册，</w:t>
      </w:r>
      <w:r>
        <w:rPr>
          <w:rFonts w:ascii="宋体" w:hAnsi="宋体" w:eastAsia="宋体" w:cs="宋体"/>
          <w:bCs/>
          <w:color w:val="000000" w:themeColor="text1"/>
          <w:sz w:val="24"/>
          <w:highlight w:val="none"/>
          <w14:textFill>
            <w14:solidFill>
              <w14:schemeClr w14:val="tx1"/>
            </w14:solidFill>
          </w14:textFill>
        </w:rPr>
        <w:t>注册造价工程师应具备工程造价咨询、数据测算相关工作经验，熟悉西安市造价定额及市场价格体系，负责核心数据测算、成果审核及专业技术把控</w:t>
      </w:r>
      <w:r>
        <w:rPr>
          <w:rFonts w:hint="eastAsia" w:ascii="宋体" w:hAnsi="宋体" w:eastAsia="宋体" w:cs="宋体"/>
          <w:bCs/>
          <w:color w:val="000000" w:themeColor="text1"/>
          <w:sz w:val="24"/>
          <w:highlight w:val="none"/>
          <w14:textFill>
            <w14:solidFill>
              <w14:schemeClr w14:val="tx1"/>
            </w14:solidFill>
          </w14:textFill>
        </w:rPr>
        <w:t>。</w:t>
      </w:r>
      <w:r>
        <w:rPr>
          <w:rFonts w:hint="eastAsia" w:ascii="宋体" w:hAnsi="宋体" w:eastAsia="宋体" w:cs="宋体"/>
          <w:bCs/>
          <w:color w:val="000000" w:themeColor="text1"/>
          <w:kern w:val="0"/>
          <w:sz w:val="24"/>
          <w:highlight w:val="none"/>
          <w14:textFill>
            <w14:solidFill>
              <w14:schemeClr w14:val="tx1"/>
            </w14:solidFill>
          </w14:textFill>
        </w:rPr>
        <w:t>不少于</w:t>
      </w:r>
      <w:r>
        <w:rPr>
          <w:rFonts w:ascii="宋体" w:hAnsi="宋体" w:eastAsia="宋体" w:cs="宋体"/>
          <w:bCs/>
          <w:color w:val="000000" w:themeColor="text1"/>
          <w:kern w:val="0"/>
          <w:sz w:val="24"/>
          <w:highlight w:val="none"/>
          <w14:textFill>
            <w14:solidFill>
              <w14:schemeClr w14:val="tx1"/>
            </w14:solidFill>
          </w14:textFill>
        </w:rPr>
        <w:t>1</w:t>
      </w:r>
      <w:r>
        <w:rPr>
          <w:rFonts w:hint="eastAsia" w:ascii="宋体" w:hAnsi="宋体" w:eastAsia="宋体" w:cs="宋体"/>
          <w:bCs/>
          <w:color w:val="000000" w:themeColor="text1"/>
          <w:kern w:val="0"/>
          <w:sz w:val="24"/>
          <w:highlight w:val="none"/>
          <w14:textFill>
            <w14:solidFill>
              <w14:schemeClr w14:val="tx1"/>
            </w14:solidFill>
          </w14:textFill>
        </w:rPr>
        <w:t>名专业数据统计人员，具备数据统计、分析工作经验，熟练掌握数据处理、统计分析软件，负责数据汇总、分类、校验及台账建立。不少于</w:t>
      </w:r>
      <w:r>
        <w:rPr>
          <w:rFonts w:ascii="宋体" w:hAnsi="宋体" w:eastAsia="宋体" w:cs="宋体"/>
          <w:bCs/>
          <w:color w:val="000000" w:themeColor="text1"/>
          <w:kern w:val="0"/>
          <w:sz w:val="24"/>
          <w:highlight w:val="none"/>
          <w14:textFill>
            <w14:solidFill>
              <w14:schemeClr w14:val="tx1"/>
            </w14:solidFill>
          </w14:textFill>
        </w:rPr>
        <w:t>1</w:t>
      </w:r>
      <w:r>
        <w:rPr>
          <w:rFonts w:hint="eastAsia" w:ascii="宋体" w:hAnsi="宋体" w:eastAsia="宋体" w:cs="宋体"/>
          <w:bCs/>
          <w:color w:val="000000" w:themeColor="text1"/>
          <w:kern w:val="0"/>
          <w:sz w:val="24"/>
          <w:highlight w:val="none"/>
          <w14:textFill>
            <w14:solidFill>
              <w14:schemeClr w14:val="tx1"/>
            </w14:solidFill>
          </w14:textFill>
        </w:rPr>
        <w:t>名物价专业人员，熟悉西安市建筑材料、人工市场价格行情，具备建材市场、劳务市场调研经验，负责一线价格信息采集、市场走访及价格变动核实工作。</w:t>
      </w:r>
    </w:p>
    <w:p w14:paraId="559F43B5">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hint="default" w:ascii="宋体" w:hAnsi="宋体" w:eastAsia="宋体" w:cs="宋体"/>
          <w:bCs/>
          <w:color w:val="000000" w:themeColor="text1"/>
          <w:sz w:val="24"/>
          <w:szCs w:val="24"/>
          <w:highlight w:val="none"/>
          <w14:textFill>
            <w14:solidFill>
              <w14:schemeClr w14:val="tx1"/>
            </w14:solidFill>
          </w14:textFill>
        </w:rPr>
        <w:t>3.</w:t>
      </w:r>
      <w:r>
        <w:rPr>
          <w:rFonts w:ascii="宋体" w:hAnsi="宋体" w:eastAsia="宋体" w:cs="宋体"/>
          <w:bCs/>
          <w:color w:val="000000" w:themeColor="text1"/>
          <w:sz w:val="24"/>
          <w:szCs w:val="24"/>
          <w:highlight w:val="none"/>
          <w14:textFill>
            <w14:solidFill>
              <w14:schemeClr w14:val="tx1"/>
            </w14:solidFill>
          </w14:textFill>
        </w:rPr>
        <w:t>注册造价工程师需提供相应注册证书及劳动合同或社保缴纳证明材料，服务期内未经甲方同意，不得擅自更换核心人员；确需更换的，需提前书面报备，且更换人员资质、经验不得低于原配置标准。</w:t>
      </w:r>
    </w:p>
    <w:p w14:paraId="24F750C5">
      <w:pPr>
        <w:pStyle w:val="6"/>
        <w:adjustRightInd w:val="0"/>
        <w:snapToGrid w:val="0"/>
        <w:spacing w:line="360" w:lineRule="auto"/>
        <w:ind w:firstLine="482" w:firstLineChars="200"/>
        <w:outlineLvl w:val="2"/>
        <w:rPr>
          <w:rFonts w:hint="default" w:ascii="宋体" w:hAnsi="宋体" w:eastAsia="宋体" w:cs="宋体"/>
          <w:b/>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（二）专家评审团队人员要求</w:t>
      </w:r>
    </w:p>
    <w:p w14:paraId="05B5BB85">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1.乙方须自行组建不少于5人的专业专家评审团队，评审团队应熟悉西安市建设工程行业标准及造价管理政策，具备丰富的造价评审、数据分析经验。</w:t>
      </w:r>
    </w:p>
    <w:p w14:paraId="47A89F87">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2.每季度、每半年及每月完成各类数据采集、测算、分析工作后，由乙方组织专家评审团队召开专项评审会议，对人工成本数据、住宅造价信息、造价案例、建材价格等全部成果进行全面评审，重点审核数据准确性、测算合理性、分析专业性及合规性。</w:t>
      </w:r>
    </w:p>
    <w:p w14:paraId="2875C1F6">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3.评审团队需出具书面专家评审意见书，如存在问题，应提出整改意见，乙方需根据评审意见及时整改完善，确保成果无数据错误、无逻辑漏洞、符合行业规范。</w:t>
      </w:r>
    </w:p>
    <w:p w14:paraId="4913C964">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4.专家评审团队需独立开展成果评审工作，与核心工作团队互不兼任，确保评审过程公平、公正、专业，评审意见需客观、严谨，对数据成果的准确性、合理性、合规性负责。</w:t>
      </w:r>
    </w:p>
    <w:p w14:paraId="30F8288B">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5.整改完成后，将最终成果文件、专家评审意见书、基础数据资料、测算过程资料等进行整合归档，形成完整的成果资料，统一报甲方。</w:t>
      </w:r>
    </w:p>
    <w:p w14:paraId="757C0AA8">
      <w:pPr>
        <w:pStyle w:val="6"/>
        <w:adjustRightInd w:val="0"/>
        <w:snapToGrid w:val="0"/>
        <w:spacing w:line="360" w:lineRule="auto"/>
        <w:ind w:firstLine="482" w:firstLineChars="200"/>
        <w:outlineLvl w:val="2"/>
        <w:rPr>
          <w:rFonts w:hint="default" w:ascii="宋体" w:hAnsi="宋体" w:eastAsia="宋体" w:cs="宋体"/>
          <w:b/>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（三）具体服务内容及频次要求</w:t>
      </w:r>
    </w:p>
    <w:p w14:paraId="0D18812F">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乙方应在西安市范围内有15个以上的在建工程项目，开展周期性数据采集测算工作，</w:t>
      </w:r>
      <w:r>
        <w:rPr>
          <w:rFonts w:ascii="宋体" w:hAnsi="宋体" w:eastAsia="宋体" w:cs="宋体"/>
          <w:bCs/>
          <w:color w:val="000000" w:themeColor="text1"/>
          <w:sz w:val="24"/>
          <w:szCs w:val="24"/>
          <w:highlight w:val="none"/>
          <w14:textFill>
            <w14:solidFill>
              <w14:schemeClr w14:val="tx1"/>
            </w14:solidFill>
          </w14:textFill>
        </w:rPr>
        <w:t>并按照以下时间节点和内容要求开展以下工作：</w:t>
      </w:r>
    </w:p>
    <w:p w14:paraId="3B0B0203">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1.建筑工程人工成本信息采集测算</w:t>
      </w:r>
    </w:p>
    <w:p w14:paraId="68E7531C">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乙方在西安市范围内每季度完成本季度的测算、汇总，并按照甲方要求填写报表，形成季度人工成本信息报告。</w:t>
      </w:r>
    </w:p>
    <w:p w14:paraId="78177913">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2.城市住宅建筑工程造价信息采集测算</w:t>
      </w:r>
    </w:p>
    <w:p w14:paraId="74C7BF5F">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乙方在西安市城市区域每半年针对城市住宅建筑工程，采集造价指标数据，进行深度测算与汇总，反映住宅造价市场动态。</w:t>
      </w:r>
    </w:p>
    <w:p w14:paraId="7980F657">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3.远郊区县建筑材料价格信息采集测算</w:t>
      </w:r>
    </w:p>
    <w:p w14:paraId="5D550758">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乙方每月在阎良、临潼、高陵、鄠邑、蓝田、周至六个远郊区县，采集区域内的建筑材料价格信息，进行分析、测算与汇总，确保区域价格信息的时效性、准确性。</w:t>
      </w:r>
    </w:p>
    <w:p w14:paraId="35CEBB54">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4.工程造价案例分析</w:t>
      </w:r>
    </w:p>
    <w:p w14:paraId="63173AA4">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乙方每月提供房屋建筑工程及市政工程典型案例造价指数指标分析成果各一份，并按照甲方要求编制造价案例分析报告。</w:t>
      </w:r>
    </w:p>
    <w:p w14:paraId="7C1C790B">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5.其他要求</w:t>
      </w:r>
    </w:p>
    <w:p w14:paraId="7C521F8E">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5.1乙方须配备专业的数据处理、造价测算软件等必备的办公设备，建立完善的造价数据管理体系，实现数据采集、录入、测算、汇总、归档全流程信息化管理，提升工作效率及数据管控水平；乙方应与甲方建立常态化沟通机制，定期汇报沟通工作进展，及时响应甲方提出的工作调整、资料补充、问题核查等要求，确保工作衔接顺畅；</w:t>
      </w:r>
    </w:p>
    <w:p w14:paraId="73168D7E">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5.2乙方对甲方及专家评审团队提出的问题、整改意见，应在规定时限内无条件完成整改后报送，成果文件符合要求；若因乙方自身原因导致成果不合格，承担相应违约责任；</w:t>
      </w:r>
    </w:p>
    <w:p w14:paraId="7E76B94B">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5.3乙方应建立完善的项目档案管理制度，对服务期内所有数据采集资料、测算过程文件、评审意见书、成果报告、往来函件等进行分类归档、妥善保管，便于后续核查、追溯；</w:t>
      </w:r>
    </w:p>
    <w:p w14:paraId="301753C8">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5.4乙方应严格遵守国家、陕西省及西安市建设工程造价管理相关法律法规、政策文件，服从甲方的工作管理及监督考核；</w:t>
      </w:r>
    </w:p>
    <w:p w14:paraId="6EF1918E">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5.5除常规采集任务外，乙方应密切关注市场价格波动，持续跟踪监测市场材料种类及价格变化情况；当监测到市场价格变化幅度较大或出现异常波动时，应立即向甲方反映异常情况，并根据需求必要时加发材料价格信息专报，及时为市场提供依据。</w:t>
      </w:r>
    </w:p>
    <w:p w14:paraId="1FCDD234">
      <w:pPr>
        <w:pStyle w:val="6"/>
        <w:adjustRightInd w:val="0"/>
        <w:snapToGrid w:val="0"/>
        <w:spacing w:line="360" w:lineRule="auto"/>
        <w:ind w:firstLine="482" w:firstLineChars="200"/>
        <w:outlineLvl w:val="2"/>
        <w:rPr>
          <w:rFonts w:hint="default" w:ascii="宋体" w:hAnsi="宋体" w:eastAsia="宋体" w:cs="宋体"/>
          <w:b/>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（四）成果质量管控要求</w:t>
      </w:r>
    </w:p>
    <w:p w14:paraId="68B3DDCC">
      <w:pPr>
        <w:pStyle w:val="6"/>
        <w:adjustRightInd w:val="0"/>
        <w:snapToGrid w:val="0"/>
        <w:spacing w:line="360" w:lineRule="auto"/>
        <w:ind w:firstLine="482" w:firstLineChars="200"/>
        <w:outlineLvl w:val="2"/>
        <w:rPr>
          <w:rFonts w:hint="default" w:ascii="宋体" w:hAnsi="宋体" w:eastAsia="宋体" w:cs="宋体"/>
          <w:b/>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1.数据真实性要求</w:t>
      </w:r>
    </w:p>
    <w:p w14:paraId="7E98CD1B">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乙方所有采集数据均应真实，且来自在建项目及合法合规渠道，严禁编造、篡改数据，接受甲方核查。</w:t>
      </w:r>
    </w:p>
    <w:p w14:paraId="333BB871">
      <w:pPr>
        <w:pStyle w:val="6"/>
        <w:adjustRightInd w:val="0"/>
        <w:snapToGrid w:val="0"/>
        <w:spacing w:line="360" w:lineRule="auto"/>
        <w:ind w:firstLine="482" w:firstLineChars="200"/>
        <w:outlineLvl w:val="2"/>
        <w:rPr>
          <w:rFonts w:hint="default" w:ascii="宋体" w:hAnsi="宋体" w:eastAsia="宋体" w:cs="宋体"/>
          <w:b/>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2.数据准确性要求</w:t>
      </w:r>
    </w:p>
    <w:p w14:paraId="53AC9129">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乙方应严格按照国家、陕西省及西安市建设工程造价相关规范、定额、计价标准等开展测算工作，数据计算精准无误，异常数据需反复核实、标注说明。</w:t>
      </w:r>
    </w:p>
    <w:p w14:paraId="5D908F76">
      <w:pPr>
        <w:pStyle w:val="6"/>
        <w:adjustRightInd w:val="0"/>
        <w:snapToGrid w:val="0"/>
        <w:spacing w:line="360" w:lineRule="auto"/>
        <w:ind w:firstLine="482" w:firstLineChars="200"/>
        <w:outlineLvl w:val="2"/>
        <w:rPr>
          <w:rFonts w:hint="default" w:ascii="宋体" w:hAnsi="宋体" w:eastAsia="宋体" w:cs="宋体"/>
          <w:b/>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3.时效性要求</w:t>
      </w:r>
    </w:p>
    <w:p w14:paraId="4A0EC07F">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乙方应严格遵循甲方要求的工作时限，按时完成各项数据采集、测算、汇总及评审工作，不得拖延报送；应及时向甲方反映市场异常情况及潜在风险，并根据甲方需求，必要时加发材料价格信息专报，确保信息的时效性；配合甲方开展临时性、专项性价格调查工作。</w:t>
      </w:r>
    </w:p>
    <w:p w14:paraId="3BAEA3CA">
      <w:pPr>
        <w:pStyle w:val="6"/>
        <w:adjustRightInd w:val="0"/>
        <w:snapToGrid w:val="0"/>
        <w:spacing w:line="360" w:lineRule="auto"/>
        <w:ind w:firstLine="482" w:firstLineChars="200"/>
        <w:outlineLvl w:val="2"/>
        <w:rPr>
          <w:rFonts w:hint="default" w:ascii="宋体" w:hAnsi="宋体" w:eastAsia="宋体" w:cs="宋体"/>
          <w:b/>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4.规范性要求</w:t>
      </w:r>
    </w:p>
    <w:p w14:paraId="166F2DAC">
      <w:pPr>
        <w:pStyle w:val="6"/>
        <w:adjustRightInd w:val="0"/>
        <w:snapToGrid w:val="0"/>
        <w:spacing w:line="360" w:lineRule="auto"/>
        <w:ind w:firstLine="480" w:firstLineChars="200"/>
        <w:outlineLvl w:val="2"/>
        <w:rPr>
          <w:rFonts w:hint="default" w:ascii="宋体" w:hAnsi="宋体" w:eastAsia="宋体" w:cs="宋体"/>
          <w:bCs/>
          <w:color w:val="000000" w:themeColor="text1"/>
          <w:sz w:val="24"/>
          <w:szCs w:val="24"/>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乙方提供的成果文件格式、内容、装订需统一规范，符合甲方成果报送标准，报告内容逻辑清晰、表述专业、数据完整，表格、图表规范清晰，纸质版与电子版成果一致，同步报送，电子版文件需备份、便于查阅。</w:t>
      </w:r>
    </w:p>
    <w:p w14:paraId="433D67BE">
      <w:pPr>
        <w:pStyle w:val="6"/>
        <w:adjustRightInd w:val="0"/>
        <w:snapToGrid w:val="0"/>
        <w:spacing w:line="360" w:lineRule="auto"/>
        <w:ind w:firstLine="482" w:firstLineChars="200"/>
        <w:outlineLvl w:val="2"/>
        <w:rPr>
          <w:rFonts w:hint="default" w:ascii="宋体" w:hAnsi="宋体" w:eastAsia="宋体" w:cs="宋体"/>
          <w:b/>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5.保密性要求</w:t>
      </w:r>
    </w:p>
    <w:p w14:paraId="3AA3003D">
      <w:pPr>
        <w:pStyle w:val="6"/>
        <w:adjustRightInd w:val="0"/>
        <w:snapToGrid w:val="0"/>
        <w:spacing w:line="360" w:lineRule="auto"/>
        <w:ind w:firstLine="480" w:firstLineChars="200"/>
        <w:outlineLvl w:val="2"/>
        <w:rPr>
          <w:rFonts w:hint="default"/>
          <w:bCs/>
          <w:color w:val="000000" w:themeColor="text1"/>
          <w:highlight w:val="none"/>
          <w14:textFill>
            <w14:solidFill>
              <w14:schemeClr w14:val="tx1"/>
            </w14:solidFill>
          </w14:textFill>
        </w:rPr>
      </w:pPr>
      <w:r>
        <w:rPr>
          <w:rFonts w:ascii="宋体" w:hAnsi="宋体" w:eastAsia="宋体" w:cs="宋体"/>
          <w:bCs/>
          <w:color w:val="000000" w:themeColor="text1"/>
          <w:sz w:val="24"/>
          <w:szCs w:val="24"/>
          <w:highlight w:val="none"/>
          <w14:textFill>
            <w14:solidFill>
              <w14:schemeClr w14:val="tx1"/>
            </w14:solidFill>
          </w14:textFill>
        </w:rPr>
        <w:t>乙方应对项目采集的涉密数据、企业隐私信息及成果文件严格保密，未经甲方同意，不得向任何第三方泄露、传播，服务期内及服务终止后均需履行保密义务，承担相应保密责任。</w:t>
      </w:r>
    </w:p>
    <w:p w14:paraId="0F118279">
      <w:pPr>
        <w:autoSpaceDE w:val="0"/>
        <w:autoSpaceDN w:val="0"/>
        <w:adjustRightInd w:val="0"/>
        <w:snapToGrid w:val="0"/>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九、</w:t>
      </w:r>
      <w:r>
        <w:rPr>
          <w:rFonts w:hint="eastAsia" w:ascii="宋体" w:hAnsi="宋体" w:cs="宋体"/>
          <w:color w:val="000000" w:themeColor="text1"/>
          <w:sz w:val="24"/>
          <w:highlight w:val="none"/>
          <w14:textFill>
            <w14:solidFill>
              <w14:schemeClr w14:val="tx1"/>
            </w14:solidFill>
          </w14:textFill>
        </w:rPr>
        <w:t>在本合同书的有效期内，乙方应按本合同书规定的条件开展有关业务。甲方有权解除合同，并保留赔偿的权利。</w:t>
      </w:r>
    </w:p>
    <w:p w14:paraId="34E50951">
      <w:pPr>
        <w:autoSpaceDE w:val="0"/>
        <w:autoSpaceDN w:val="0"/>
        <w:adjustRightInd w:val="0"/>
        <w:snapToGrid w:val="0"/>
        <w:spacing w:line="360" w:lineRule="auto"/>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十、违约责任</w:t>
      </w:r>
    </w:p>
    <w:p w14:paraId="1ED5EFAE">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1.甲方不能按本合同书规定的时间支付费用给乙方，即为违约。 </w:t>
      </w:r>
    </w:p>
    <w:p w14:paraId="593FAE15">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2.乙方未按甲方要求的时限及质量完成服务项目的，甲方有权单方解除合同且无需支付任何款项，并保留索赔的权利。</w:t>
      </w:r>
    </w:p>
    <w:p w14:paraId="4028CE9C">
      <w:pPr>
        <w:autoSpaceDE w:val="0"/>
        <w:autoSpaceDN w:val="0"/>
        <w:adjustRightInd w:val="0"/>
        <w:snapToGrid w:val="0"/>
        <w:spacing w:line="360" w:lineRule="auto"/>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十一、其他</w:t>
      </w:r>
    </w:p>
    <w:p w14:paraId="6F857B4F">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1.本合同有效期自</w:t>
      </w:r>
      <w:r>
        <w:rPr>
          <w:rFonts w:hint="eastAsia" w:ascii="宋体" w:hAnsi="宋体" w:cs="宋体"/>
          <w:color w:val="000000" w:themeColor="text1"/>
          <w:sz w:val="24"/>
          <w:highlight w:val="none"/>
          <w:u w:val="single"/>
          <w14:textFill>
            <w14:solidFill>
              <w14:schemeClr w14:val="tx1"/>
            </w14:solidFill>
          </w14:textFill>
        </w:rPr>
        <w:t>2026</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single"/>
          <w14:textFill>
            <w14:solidFill>
              <w14:schemeClr w14:val="tx1"/>
            </w14:solidFill>
          </w14:textFill>
        </w:rPr>
        <w:t xml:space="preserve">  </w:t>
      </w:r>
      <w:r>
        <w:rPr>
          <w:rFonts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single"/>
          <w14:textFill>
            <w14:solidFill>
              <w14:schemeClr w14:val="tx1"/>
            </w14:solidFill>
          </w14:textFill>
        </w:rPr>
        <w:t xml:space="preserve">  </w:t>
      </w:r>
      <w:r>
        <w:rPr>
          <w:rFonts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日起至</w:t>
      </w:r>
      <w:r>
        <w:rPr>
          <w:rFonts w:hint="eastAsia" w:ascii="宋体" w:hAnsi="宋体" w:cs="宋体"/>
          <w:color w:val="000000" w:themeColor="text1"/>
          <w:sz w:val="24"/>
          <w:highlight w:val="none"/>
          <w:u w:val="single"/>
          <w14:textFill>
            <w14:solidFill>
              <w14:schemeClr w14:val="tx1"/>
            </w14:solidFill>
          </w14:textFill>
        </w:rPr>
        <w:t>2026</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single"/>
          <w14:textFill>
            <w14:solidFill>
              <w14:schemeClr w14:val="tx1"/>
            </w14:solidFill>
          </w14:textFill>
        </w:rPr>
        <w:t xml:space="preserve"> </w:t>
      </w:r>
      <w:r>
        <w:rPr>
          <w:rFonts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single"/>
          <w14:textFill>
            <w14:solidFill>
              <w14:schemeClr w14:val="tx1"/>
            </w14:solidFill>
          </w14:textFill>
        </w:rPr>
        <w:t xml:space="preserve"> </w:t>
      </w:r>
      <w:r>
        <w:rPr>
          <w:rFonts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日止。</w:t>
      </w:r>
    </w:p>
    <w:p w14:paraId="6CDB5487">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2.本合同书未尽事宜，由甲乙双方协商解决，若协商未果，双方均可向项目所在地人民法院提起诉讼。</w:t>
      </w:r>
    </w:p>
    <w:p w14:paraId="63B5A797">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3.本合同书一式捌份，甲方伍份，乙方贰份，市财政局备案留存一份。</w:t>
      </w:r>
    </w:p>
    <w:p w14:paraId="3200C4A4">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（以下无正文）</w:t>
      </w:r>
    </w:p>
    <w:p w14:paraId="61F6FCD1">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7C278239">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甲方：西安市建设工程造价服务中心（签章）乙方：</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（签章）</w:t>
      </w:r>
    </w:p>
    <w:p w14:paraId="418FDA7A">
      <w:pPr>
        <w:autoSpaceDE w:val="0"/>
        <w:autoSpaceDN w:val="0"/>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甲方（负责人）：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14:textFill>
            <w14:solidFill>
              <w14:schemeClr w14:val="tx1"/>
            </w14:solidFill>
          </w14:textFill>
        </w:rPr>
        <w:t xml:space="preserve"> 乙方（法人代表）：</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 xml:space="preserve">             </w:t>
      </w:r>
    </w:p>
    <w:p w14:paraId="490F505E">
      <w:pPr>
        <w:adjustRightInd w:val="0"/>
        <w:snapToGrid w:val="0"/>
        <w:spacing w:line="360" w:lineRule="auto"/>
        <w:ind w:left="719" w:leftChars="228" w:hanging="240" w:hangingChars="1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电话：</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14:textFill>
            <w14:solidFill>
              <w14:schemeClr w14:val="tx1"/>
            </w14:solidFill>
          </w14:textFill>
        </w:rPr>
        <w:t xml:space="preserve"> 电话：</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 xml:space="preserve">      </w:t>
      </w:r>
    </w:p>
    <w:p w14:paraId="2D5D8DB9">
      <w:pPr>
        <w:pStyle w:val="6"/>
        <w:adjustRightInd w:val="0"/>
        <w:snapToGrid w:val="0"/>
        <w:spacing w:line="360" w:lineRule="auto"/>
        <w:ind w:firstLine="480" w:firstLineChars="200"/>
        <w:rPr>
          <w:rFonts w:hint="default" w:ascii="宋体" w:hAnsi="宋体" w:eastAsia="宋体" w:cs="宋体"/>
          <w:color w:val="000000" w:themeColor="text1"/>
          <w:sz w:val="24"/>
          <w:szCs w:val="24"/>
          <w:highlight w:val="none"/>
          <w14:textFill>
            <w14:solidFill>
              <w14:schemeClr w14:val="tx1"/>
            </w14:solidFill>
          </w14:textFill>
        </w:rPr>
      </w:pPr>
    </w:p>
    <w:p w14:paraId="3EFD6B47">
      <w:pPr>
        <w:rPr>
          <w:color w:val="000000" w:themeColor="text1"/>
          <w14:textFill>
            <w14:solidFill>
              <w14:schemeClr w14:val="tx1"/>
            </w14:solidFill>
          </w14:textFill>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4D13D2"/>
    <w:rsid w:val="7FE64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标题 1 字符"/>
    <w:link w:val="5"/>
    <w:qFormat/>
    <w:uiPriority w:val="0"/>
    <w:rPr>
      <w:rFonts w:hint="eastAsia" w:ascii="宋体" w:hAnsi="宋体"/>
      <w:b/>
      <w:bCs/>
      <w:kern w:val="44"/>
      <w:sz w:val="48"/>
      <w:szCs w:val="48"/>
    </w:rPr>
  </w:style>
  <w:style w:type="paragraph" w:customStyle="1" w:styleId="5">
    <w:name w:val="标题 11"/>
    <w:basedOn w:val="1"/>
    <w:link w:val="4"/>
    <w:qFormat/>
    <w:uiPriority w:val="0"/>
    <w:pPr>
      <w:spacing w:beforeAutospacing="1" w:afterAutospacing="1"/>
      <w:jc w:val="left"/>
      <w:outlineLvl w:val="0"/>
    </w:pPr>
    <w:rPr>
      <w:rFonts w:hint="eastAsia" w:ascii="宋体" w:hAnsi="宋体"/>
      <w:b/>
      <w:bCs/>
      <w:kern w:val="44"/>
      <w:sz w:val="48"/>
      <w:szCs w:val="48"/>
    </w:rPr>
  </w:style>
  <w:style w:type="paragraph" w:customStyle="1" w:styleId="6">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3327</Words>
  <Characters>3392</Characters>
  <Lines>0</Lines>
  <Paragraphs>0</Paragraphs>
  <TotalTime>3</TotalTime>
  <ScaleCrop>false</ScaleCrop>
  <LinksUpToDate>false</LinksUpToDate>
  <CharactersWithSpaces>3552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2026-04-14T02:47:00Z</dcterms:created>
  <dc:creator>Administrator</dc:creator>
  <cp:lastModifiedBy>开瑞</cp:lastModifiedBy>
  <dcterms:modified xsi:type="dcterms:W3CDTF">2026-04-29T07:03:52Z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A1228BAF1A0B4CCF84AEF6609B9BD751_12</vt:lpwstr>
  </property>
</Properties>
</file>