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版本号：JXRC-26031320260407001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全院治疗类设备采购项目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JXRC-260313</w:t>
      </w:r>
      <w:r>
        <w:br/>
      </w:r>
      <w:r>
        <w:br/>
      </w:r>
      <w:r>
        <w:br/>
      </w:r>
    </w:p>
    <w:p>
      <w:pPr>
        <w:pStyle w:val="null3"/>
        <w:jc w:val="center"/>
        <w:outlineLvl w:val="2"/>
      </w:pPr>
      <w:r>
        <w:rPr>
          <w:rFonts w:ascii="仿宋_GB2312" w:hAnsi="仿宋_GB2312" w:cs="仿宋_GB2312" w:eastAsia="仿宋_GB2312"/>
          <w:sz w:val="28"/>
          <w:b/>
        </w:rPr>
        <w:t>西安市第九医院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西安市第九医院</w:t>
      </w:r>
      <w:r>
        <w:rPr>
          <w:rFonts w:ascii="仿宋_GB2312" w:hAnsi="仿宋_GB2312" w:cs="仿宋_GB2312" w:eastAsia="仿宋_GB2312"/>
        </w:rPr>
        <w:t>委托，拟对</w:t>
      </w:r>
      <w:r>
        <w:rPr>
          <w:rFonts w:ascii="仿宋_GB2312" w:hAnsi="仿宋_GB2312" w:cs="仿宋_GB2312" w:eastAsia="仿宋_GB2312"/>
        </w:rPr>
        <w:t>全院治疗类设备采购项目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JXRC-260313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全院治疗类设备采购项目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为进一步提升我院医疗服务水平，提高医疗服务质量和效率，为患者提供更优质、高效、精准的诊断治疗，结合临床科室需求，需购买全院治疗类等设备一批。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供应商应有良好的财务状况：法人提供会计师事务所出具的完整的2024年度或者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3、供应商应有依法缴纳税收的良好记录：法人提供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w:t>
      </w:r>
    </w:p>
    <w:p>
      <w:pPr>
        <w:pStyle w:val="null3"/>
      </w:pPr>
      <w:r>
        <w:rPr>
          <w:rFonts w:ascii="仿宋_GB2312" w:hAnsi="仿宋_GB2312" w:cs="仿宋_GB2312" w:eastAsia="仿宋_GB2312"/>
        </w:rPr>
        <w:t>4、供应商应有依法缴纳社会保障资金的良好记录：提供2025年9月1日以来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法定代表授权书：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p>
      <w:pPr>
        <w:pStyle w:val="null3"/>
      </w:pPr>
      <w:r>
        <w:rPr>
          <w:rFonts w:ascii="仿宋_GB2312" w:hAnsi="仿宋_GB2312" w:cs="仿宋_GB2312" w:eastAsia="仿宋_GB2312"/>
        </w:rPr>
        <w:t>6、参加本次政府采购活动前三年内，在经营活动中没有重大违法记录：供应商需提供《无重大违法记录声明》完成承诺</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7、供应商应具有履行合同所必需的设备和专业技术能力：供应商需提供《具有履行合同所必需的设备和专业技术能力的承诺书》完成承诺。</w:t>
      </w:r>
    </w:p>
    <w:p>
      <w:pPr>
        <w:pStyle w:val="null3"/>
      </w:pPr>
      <w:r>
        <w:rPr>
          <w:rFonts w:ascii="仿宋_GB2312" w:hAnsi="仿宋_GB2312" w:cs="仿宋_GB2312" w:eastAsia="仿宋_GB2312"/>
        </w:rPr>
        <w:t>8、许可证：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p>
      <w:pPr>
        <w:pStyle w:val="null3"/>
      </w:pPr>
      <w:r>
        <w:rPr>
          <w:rFonts w:ascii="仿宋_GB2312" w:hAnsi="仿宋_GB2312" w:cs="仿宋_GB2312" w:eastAsia="仿宋_GB2312"/>
        </w:rPr>
        <w:t>9、医疗器械注册证：供应商所投产品属于医疗器械的须提供拟投产品有效的医疗器械注册证或备案凭证。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西安市第九医院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西安市南二环东段151号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西安市第九医院经办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029-61165668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说明：质保期限届满后，在扣除相关款项后（若有），剩余部分无息返还。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西安市第九医院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西安市第九医院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tbl>
      <w:tblPr>
        <w:tblW w:w="0" w:type="auto"/>
        <w:tblBorders>
          <w:top w:val="none" w:color="000000" w:sz="4"/>
          <w:left w:val="none" w:color="000000" w:sz="4"/>
          <w:bottom w:val="none" w:color="000000" w:sz="4"/>
          <w:right w:val="none" w:color="000000" w:sz="4"/>
          <w:insideH w:val="none"/>
          <w:insideV w:val="none"/>
        </w:tblBorders>
      </w:tblPr>
      <w:tblGrid>
        <w:gridCol w:w="771"/>
        <w:gridCol w:w="2911"/>
        <w:gridCol w:w="771"/>
        <w:gridCol w:w="1541"/>
        <w:gridCol w:w="1541"/>
        <w:gridCol w:w="771"/>
      </w:tblGrid>
      <w:tr>
        <w:tc>
          <w:tcPr>
            <w:tcW w:type="dxa" w:w="771"/>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序号</w:t>
            </w:r>
          </w:p>
        </w:tc>
        <w:tc>
          <w:tcPr>
            <w:tcW w:type="dxa" w:w="29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名称</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数量</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单价限价（元）</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合计限价（元）</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备注</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40"/>
              <w:jc w:val="both"/>
            </w:pPr>
            <w:r>
              <w:rPr>
                <w:rFonts w:ascii="仿宋_GB2312" w:hAnsi="仿宋_GB2312" w:cs="仿宋_GB2312" w:eastAsia="仿宋_GB2312"/>
                <w:sz w:val="24"/>
              </w:rPr>
              <w:t>1</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间歇脉冲加压抗栓系统</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240000.00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2</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二氧化碳激光治疗机</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250000.00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250000.00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核心产品</w:t>
            </w: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240"/>
              <w:jc w:val="both"/>
            </w:pPr>
            <w:r>
              <w:rPr>
                <w:rFonts w:ascii="仿宋_GB2312" w:hAnsi="仿宋_GB2312" w:cs="仿宋_GB2312" w:eastAsia="仿宋_GB2312"/>
                <w:sz w:val="24"/>
              </w:rPr>
              <w:t>3</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眼科雾化熏蒸治疗仪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100000.00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4</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微波治疗仪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720000.00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5</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生物反馈治疗仪</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120000.00</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120000.00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p>
        </w:tc>
      </w:tr>
      <w:tr>
        <w:tc>
          <w:tcPr>
            <w:tcW w:type="dxa" w:w="77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合计</w:t>
            </w:r>
          </w:p>
        </w:tc>
        <w:tc>
          <w:tcPr>
            <w:tcW w:type="dxa" w:w="29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28</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1430000.00</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1,430,000.00</w:t>
      </w:r>
    </w:p>
    <w:p>
      <w:pPr>
        <w:pStyle w:val="null3"/>
      </w:pPr>
      <w:r>
        <w:rPr>
          <w:rFonts w:ascii="仿宋_GB2312" w:hAnsi="仿宋_GB2312" w:cs="仿宋_GB2312" w:eastAsia="仿宋_GB2312"/>
        </w:rPr>
        <w:t>采购包最高限价（元）: 1,430,000.00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间歇式脉冲 加压抗栓系统</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二氧化碳激光治疗机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眼科雾化熏 蒸治疗仪</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微波治疗仪</w:t>
            </w:r>
          </w:p>
        </w:tc>
        <w:tc>
          <w:tcPr>
            <w:tcW w:type="dxa" w:w="831"/>
          </w:tcPr>
          <w:p>
            <w:pPr>
              <w:pStyle w:val="null3"/>
              <w:jc w:val="right"/>
            </w:pPr>
            <w:r>
              <w:rPr>
                <w:rFonts w:ascii="仿宋_GB2312" w:hAnsi="仿宋_GB2312" w:cs="仿宋_GB2312" w:eastAsia="仿宋_GB2312"/>
              </w:rPr>
              <w:t>12.00</w:t>
            </w:r>
          </w:p>
        </w:tc>
        <w:tc>
          <w:tcPr>
            <w:tcW w:type="dxa" w:w="831"/>
          </w:tcPr>
          <w:p>
            <w:pPr>
              <w:pStyle w:val="null3"/>
              <w:jc w:val="right"/>
            </w:pPr>
            <w:r>
              <w:rPr>
                <w:rFonts w:ascii="仿宋_GB2312" w:hAnsi="仿宋_GB2312" w:cs="仿宋_GB2312" w:eastAsia="仿宋_GB2312"/>
              </w:rPr>
              <w:t>720,000.00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生物反馈治疗仪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标的名称：间歇式脉冲 加压抗栓系统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一、间歇脉冲加压抗栓系统</w:t>
            </w:r>
          </w:p>
          <w:p>
            <w:pPr>
              <w:pStyle w:val="null3"/>
            </w:pPr>
            <w:r>
              <w:rPr>
                <w:rFonts w:ascii="仿宋_GB2312" w:hAnsi="仿宋_GB2312" w:cs="仿宋_GB2312" w:eastAsia="仿宋_GB2312"/>
              </w:rPr>
              <w:t>1.工作压力范围0～260mmHg。</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2.具有独立的梯度模式。</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3.彩色液晶触摸屏≥5英寸。</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4.具有自动锁屏功能，同时可设置锁屏开启或关闭，息屏时间可调。主界面可显示实时治疗进度、实时治疗压力、血液回盈检测标志。</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5.气囊种类≥15种，至少含腿部六腔气囊、腿部四腔气囊、臂部四腔气囊、腿部三腔气囊、臂部三腔气囊、小腿三腔气囊、左/右手单腔气囊、左/右足单腔气囊，可重复使用。（提供注册备案凭证证明）。</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6.支持KPa和mmHg单位可切换显示。</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7.治疗方案：≥24种，至少含专业循环压强治疗方案和防栓梯度压力（DVT治疗）方案。</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8.保压时间0-15s可调。</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9.间隔时间0s-99s可调（需提供证明材料）。</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10.设备应具有血液回盈侦测功能，支持自动和手动调节。</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11.充气速度≥5级可调。</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12.治疗时间1min-48h可调，可不间断治疗，治疗时间可多种单位显示。</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13.设备应具备单腔零压跳过功能，可每腔任意压力值可调节，且每腔之间压力差值可任意调节，调节步进≤2mmHg。</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14.噪音≤50dB。</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15.设备评分等级可查看，具备无线扩展功能，并且设备具有患者VTE等级风险查看界面，连接工作站后，可查看当前治疗患者VTE风险等级。</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16.配置工作站。</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17.主机使用年限：≥10年。</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18.具有超压、欠压、电量低、电量极低提示、压强传感器异常及通讯异常提示，提示发生时，界面有提示，并且伴随声音提示。</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19.支持蓝牙连接以及在线升级功能。</w:t>
            </w:r>
          </w:p>
        </w:tc>
      </w:tr>
    </w:tbl>
    <w:p>
      <w:pPr>
        <w:pStyle w:val="null3"/>
      </w:pPr>
      <w:r>
        <w:rPr>
          <w:rFonts w:ascii="仿宋_GB2312" w:hAnsi="仿宋_GB2312" w:cs="仿宋_GB2312" w:eastAsia="仿宋_GB2312"/>
        </w:rPr>
        <w:t>标的名称：二氧化碳激光治疗机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二、二氧化碳激光治疗仪技术参数</w:t>
            </w:r>
          </w:p>
          <w:p>
            <w:pPr>
              <w:pStyle w:val="null3"/>
            </w:pPr>
            <w:r>
              <w:rPr>
                <w:rFonts w:ascii="仿宋_GB2312" w:hAnsi="仿宋_GB2312" w:cs="仿宋_GB2312" w:eastAsia="仿宋_GB2312"/>
              </w:rPr>
              <w:t>1.激光器类型：封离式二氧化碳激光器；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2.激光波长：10600nm；</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3.传输方式：≥7关节平衡锤式导光臂，配光学图形扫描器，出光方式垂直向下。</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4.治疗模式：具有普通模式和扫描模式，其中普通模式包括连续、单脉冲、单脉冲串（高能脉冲）、重复脉冲、重复脉冲串（高能脉冲）、调制脉冲等≥六种激光输出方式：</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a)连续、单脉冲、重复脉冲输出功率：0.3W～25W；</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b)单脉冲串（高能脉冲）、重复脉冲串（高能脉冲）输出功率：0.3W～15W；</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c)调制脉冲输出功率和能量：0.3W～15W或2.5mJ～250mJ；</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5.具备光学图形扫描器的普通模式，出光方式和切割宽度可调节：</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a)出光方式：≥4档可选，点间距至少≥4档可调；</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b)切割宽度：≥5种可调；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6.具备光学图形扫描器的扫描模式，输出能量、扫描方式、扫描图形种类及尺寸等可选择，扫描重复次数、扫描点间距可调节</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a)扫描模式下激光输出能量：10mJ～160mJ；</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b)扫描方式：顺序、离散、隔点加重可选；</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c)扫描图形种类：方形、横线、竖线、圆形、弓形、圆弧、三角形、空心圆可选；</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d)扫描图形尺寸：≥20mm×20mm；</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e)扫描重复次数：1次～10次可调；</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f)扫描点间距：焦距50mm手具：0mm～1.5mm可调；焦距100mm手具：0mm～3.0mm可调；</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7.焦点处光斑直径：≤0.3mm；</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8.最小脉冲宽度：≤0.1ms；</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9.脉冲重复频率：≥1500Hz；</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10.配置手具种类：50mm手具≥1种、100mm手具≥3种；</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11.控制系统：≥10英寸彩色触摸屏，角度可调节，软件具有激光功率电流监测、功率值修正、治疗数据存储、故障信息显示（液位/流量/温度/光闸/联锁开关等）、声音提示等多种功能；</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12.具有多重安全防护系统：联锁装置、安全联锁连接器、紧急激光终止器、空气开关和光闸装置等；</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13.瞄准光：波长630nm-680nm，最大功率≤5mW，亮度≥4档可调；</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14.冷却系统：封闭内循环水冷却+外循环强风冷却，具有电动注/排水功能，排水0残留；</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15.自定义治疗方案：≥5个。</w:t>
            </w:r>
          </w:p>
        </w:tc>
      </w:tr>
    </w:tbl>
    <w:p>
      <w:pPr>
        <w:pStyle w:val="null3"/>
      </w:pPr>
      <w:r>
        <w:rPr>
          <w:rFonts w:ascii="仿宋_GB2312" w:hAnsi="仿宋_GB2312" w:cs="仿宋_GB2312" w:eastAsia="仿宋_GB2312"/>
        </w:rPr>
        <w:t>标的名称：眼科雾化熏 蒸治疗仪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三、眼科超声雾化器</w:t>
            </w:r>
          </w:p>
          <w:p>
            <w:pPr>
              <w:pStyle w:val="null3"/>
            </w:pPr>
            <w:r>
              <w:rPr>
                <w:rFonts w:ascii="仿宋_GB2312" w:hAnsi="仿宋_GB2312" w:cs="仿宋_GB2312" w:eastAsia="仿宋_GB2312"/>
              </w:rPr>
              <w:t>1、标称频率：2.4MHz±0.2 MHz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2、最大雾化率：≥1ml/min；</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3、雾化水槽内水温：≤60℃；</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4、整机噪声：≤50dB；</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5、雾化颗粒中位粒径：雾化器的雾粒等效粒径中位值为3μm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6、雾化率可调；</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7、送风量可调</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8、有定时控制功能</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9、具备低水位及测温故障提示功能</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10、温度范围为30℃～45℃，步进为0.5℃；</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11、出雾温度、精度≤±1℃；</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12、连续工作时间≥1小时</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13、雾化水槽和主机采用分体式；</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14、具有进气出雾双加热系统</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15、智能提示功能：雾化器具有缺水提示、测温故障提示</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16、配置≥4英寸电容触摸屏</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17、配制氧机，最大氧流量：≥3L/min</w:t>
            </w:r>
          </w:p>
        </w:tc>
      </w:tr>
    </w:tbl>
    <w:p>
      <w:pPr>
        <w:pStyle w:val="null3"/>
      </w:pPr>
      <w:r>
        <w:rPr>
          <w:rFonts w:ascii="仿宋_GB2312" w:hAnsi="仿宋_GB2312" w:cs="仿宋_GB2312" w:eastAsia="仿宋_GB2312"/>
        </w:rPr>
        <w:t>标的名称：微波治疗仪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四、微波治疗机技术参数</w:t>
            </w:r>
          </w:p>
          <w:p>
            <w:pPr>
              <w:pStyle w:val="null3"/>
            </w:pPr>
            <w:r>
              <w:rPr>
                <w:rFonts w:ascii="仿宋_GB2312" w:hAnsi="仿宋_GB2312" w:cs="仿宋_GB2312" w:eastAsia="仿宋_GB2312"/>
              </w:rPr>
              <w:t>1、工作频率：2450MHz±30MHz。</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2、理疗功率范围：≥0-90W，连续可调。</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3、时间设置：0～30min。</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4、调节步进：功率与时间连续可调。</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5、辐照器尺寸：圆形直径≥150mm、马鞍形≥380mm*120mm。</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6、安全性：具有功率自适应和功率加强保护功能。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7、控制方式：触摸启动或自动复位，启动、运行结束，蜂鸣提示报警。</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8、使用寿命≥7年。</w:t>
            </w:r>
          </w:p>
        </w:tc>
      </w:tr>
    </w:tbl>
    <w:p>
      <w:pPr>
        <w:pStyle w:val="null3"/>
      </w:pPr>
      <w:r>
        <w:rPr>
          <w:rFonts w:ascii="仿宋_GB2312" w:hAnsi="仿宋_GB2312" w:cs="仿宋_GB2312" w:eastAsia="仿宋_GB2312"/>
        </w:rPr>
        <w:t>标的名称：生物反馈治疗仪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五、生物信息反馈灸疗仪技术参数</w:t>
            </w:r>
          </w:p>
          <w:p>
            <w:pPr>
              <w:pStyle w:val="null3"/>
            </w:pPr>
            <w:r>
              <w:rPr>
                <w:rFonts w:ascii="仿宋_GB2312" w:hAnsi="仿宋_GB2312" w:cs="仿宋_GB2312" w:eastAsia="仿宋_GB2312"/>
              </w:rPr>
              <w:t>1、主要由生物信息反馈系统（心率同步红外辐射控制模块、抗干扰模块）、光能治疗器（红外红光聚焦装置）、控制面板等组成。</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2、在使用生物信息采集脉搏传感器时，光能治疗器工作频率与心率同步。</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3、光谱波长范围：光能发生器的波长范围≥0.65µm～1.5µm。</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4、功率：额定全功率150W±10W。</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5、生物信息脉搏传感器的频率响应范围:50～120次/分。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6、工作模式：1、半功率、半调制；2、全功率、全调制。</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7、工作制：连续运行。</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8、治疗时具有明显温热效应，辐射强度(照射距离为5cm)：≥200mW/c㎡。</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9、臂杆可自动抬升。</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10、治疗时，实时显示受疗者的心率信号、治疗时间等信息。</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11、治疗时，可设定不同光谱与能量。</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12、具备心率同步脉动功能。</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13、具备波谱自动拓宽功能。</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14、具备靶向导光功能。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供应商接到医院送货通知之日起15个日历日之内交货，并完成货物的安装、调试等，且能够正常使用。到货距产品出厂日期不超过6个月。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西安市第九医院指定地点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所有货物到达医院指定地点，安装、调试完毕并验收合格后，供应商出具全额发票</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（1）货物到达医院指定地点后，供应商在使用单位人员在场情况下当面开箱，共同清点、检查外观。 （2）供应商应保证货物到达医院时完好无损，如有缺漏、损坏，由供应商负责调换、补齐或赔偿。 （3）供应商应提供完备的技术资料、装箱单和合格证等，并派遣专业技术人员进行现场安装调试。验收合格条件如下： （3.1）设备技术参数与采购合同一致，性能指标达到规定的标准。 （3.2）货物技术资料、装箱单、合格证等资料齐全。 （3.3）在系统试运行期间所出现的问题得到解决，并运行正常。 （3.4）在规定时间内完成交货并验收，并经采购人确认。 （4）产品在安装调试并试运行符合要求后，才作为最终验收。 （5）供应商提供的货物未达到招标文件规定要求，且对医院造成损失的，由供应商承担一切责任，并赔偿所造成的损失。 （6）采购人需要制造商对中标人交付的产品（包括质量、技术参数等）进行确认的，制造商应予以配合，并出具书面意见。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（1）包装：必须适应货物特性和交通运输要求，以及国家有关标准或企业标准。在装卸、运输和仓储过程中有足够的包装保护，防止货物受潮、锈蚀、遭受冲撞及其他不可预见的损坏。 （2）运输：供应商负责完成产品及相关物件的包装、运输，且承担一切运输费用，包括但不限于运输费、装卸费、仓储费、保险费等。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医疗设备≥3年；提供原厂家质保承诺文件（包括但不限于硬件、软件和人员培训等）。 供应商应当保证所供货物的来源渠道正常，设备是全新的、未使用过的、且完全符合医院对货物质量、规格、技术指标等的要求，并在质保期内。另外，供应商应对由于设备设计、工艺或材料的缺陷而产生的质量问题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（1）售后服务： ①软件终身免费升级 ②设备故障维修响应时间不得超过2小时，24小时内维修工程师必须到达现场，排除故障不得超过48小时，发生的全部费用由供应商承担，若需送回生产厂，供应商承担往 返费用，若供应商在接到通知后未在24小时内派人到场进行维修，医院有权自主进行维修，由此产生的费用由供应商承担并赔偿医院因此造成的损失，同时定期派技术人员到现场走访，给予检查维护。若维修超过72小时，供货方提供同型号备用产品。保修期内，每季度对设备提供一次免费保养服务。质保期届满前30日内，供应商应对所有产品进行全面检测、保养、维护。 ③所有产品须免费提供需要与医院现有各项信息化对接口的所有事宜，包括后期一系列升级工作。 （2）培训要求： 供应商应免费提供现场技术培训（至少一次），保证医院使用人员正常操作产品的各种功能，维护保养及其他必备知识。操作人员的技术培训时间不得少于一周，并提供培训计划。 （3）对本国产品给予价格评审优惠：投标人提供的均为本国产品或当采购项目或者采购包中含有多种产品，投标人为该采购项目或者采购包提供的符合本国产品标准的产品成本之和占该投标人提供的全部产品成本之和的比例达到80%以上时，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法人提供会计师事务所出具的完整的2024年度或者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法人提供2025年9月1日以来至少一个月的纳税证明或完税证明，纳税证明或完税证明上应有代收机构或税务机关的公章或业务专用章；其他组织和自然人提供自2025年9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2025年9月1日以来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并提供被授权人截止开标前最近连续三个月（不含开标当月）在本公司的社会保障资金缴纳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若供应商为制造厂家，应出具医疗器械生产许可证（投标产品须在其生产范围内）和医疗器械经营许可证；若供应商为经销商，应出具医疗器械经营许可证（或备案凭证），以及投标产品制造厂家的医疗器械生产许可证（投标产品须在其生产范围内）。</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医疗器械注册证</w:t>
            </w:r>
          </w:p>
        </w:tc>
        <w:tc>
          <w:tcPr>
            <w:tcW w:type="dxa" w:w="3322"/>
          </w:tcPr>
          <w:p>
            <w:pPr>
              <w:pStyle w:val="null3"/>
            </w:pPr>
            <w:r>
              <w:rPr>
                <w:rFonts w:ascii="仿宋_GB2312" w:hAnsi="仿宋_GB2312" w:cs="仿宋_GB2312" w:eastAsia="仿宋_GB2312"/>
              </w:rPr>
              <w:t>供应商所投产品属于医疗器械的须提供拟投产品有效的医疗器械注册证或备案凭证。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商务响应偏离表 产品业绩 投标方案 分项报价表 技术响应偏离表 报价表 企业关联关系声明函 响应文件封面 其他材料 供应商基本信息 标的清单 关于符合本国产品标准的声明函 供应商承诺书 响应函 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参加政府采购活动承诺书</w:t>
            </w:r>
          </w:p>
        </w:tc>
        <w:tc>
          <w:tcPr>
            <w:tcW w:type="dxa" w:w="3322"/>
          </w:tcPr>
          <w:p>
            <w:pPr>
              <w:pStyle w:val="null3"/>
            </w:pPr>
            <w:r>
              <w:rPr>
                <w:rFonts w:ascii="仿宋_GB2312" w:hAnsi="仿宋_GB2312" w:cs="仿宋_GB2312" w:eastAsia="仿宋_GB2312"/>
              </w:rPr>
              <w:t>投标人须提供参加政府采购活动承诺书</w:t>
            </w:r>
          </w:p>
        </w:tc>
        <w:tc>
          <w:tcPr>
            <w:tcW w:type="dxa" w:w="1661"/>
          </w:tcPr>
          <w:p>
            <w:pPr>
              <w:pStyle w:val="null3"/>
            </w:pPr>
            <w:r>
              <w:rPr>
                <w:rFonts w:ascii="仿宋_GB2312" w:hAnsi="仿宋_GB2312" w:cs="仿宋_GB2312" w:eastAsia="仿宋_GB2312"/>
              </w:rPr>
              <w:t>供应商承诺书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投标产品的技术指标满足或高于招标文件要求的，得满分30分。“▲”号技术指标（共5项，满分10分）为重点技术指标，每不满足一项扣2分；非“▲”号技术指标（满分20分），负偏离在20项以内（包含 20项），每不满足一项扣1分， 负偏离在20项以上，非“▲”号技术指标得0分。 注：对带“▲”的技术参数必须在投标文件中提供技术支持资料（包括但不限于彩色样本或说明书或图纸或权威机构出具的检验报告等），并在技术响应偏离表中标注对应页码及位置，未提供或所提供材料无法有效证明的将视为不满足本参数要求。对非“▲”的技术参数投标人在投标文件中应尽可能多地提供技术支持资料予以证明其技术指标响应性（包括但不限于彩色样本或产品说明书或检验报告等），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设备选型方案：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市场销售情况等）；③确保设备供应渠道正常、检验手续合法有效、无产权纠纷（供应商须提供证明材料，包括但不限于授权函、销售协议、代理协议等）。 设备选型方案思路清晰、科学合理、可行性强、完全满足采购人需求得8分；设备选型方案思路清晰、科学合理、可行性较强、满足采购人需求得7分；设备选型方案合理完善、可行性较强、基本满足采购人需求得5分；设备选型方案有缺漏项、可行性一般得3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保供方案（须细化到接到采购人通知后具体到每日的供货计划表）；②团队人员配置计划及车辆配送安排计划；③具有健全的产品安装、检测、调试、试运行及验收方案。 二、评审标准 1、完整性：方案须全面，对评审内容中的各项要求有详细描述； 2、可实施性：切合本项目实际情况，实施步骤清晰、合理； 3、针对性：方案能够紧扣本项目所采购设备种类等实际情况，内容科学合理。 三、赋分依据（满分9分） 上述3项评审内容全部满足评审标准得9分；每有一个评审内容缺项扣3分，扣完为止；每有一项评审内容存在缺陷，扣（0-3）分。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质量保证承诺</w:t>
            </w:r>
          </w:p>
        </w:tc>
        <w:tc>
          <w:tcPr>
            <w:tcW w:type="dxa" w:w="2492"/>
          </w:tcPr>
          <w:p>
            <w:pPr>
              <w:pStyle w:val="null3"/>
            </w:pPr>
            <w:r>
              <w:rPr>
                <w:rFonts w:ascii="仿宋_GB2312" w:hAnsi="仿宋_GB2312" w:cs="仿宋_GB2312" w:eastAsia="仿宋_GB2312"/>
              </w:rPr>
              <w:t>一、评审内容 投标人针对本项目提供质量保证承诺方案。内容包含：①符合国家相关质量标准、通过国家法定检验注册，产品性能稳定；②在产品使用、技术保障方面的承诺和保证措施。 二、评审标准 1、完整性：方案须全面，对评审内容中的各项要求有详细描述； 2、针对性：方案能够紧扣本项目实际情况，内容科学合理。 三、赋分依据（满分3分） 上述2项评审内容全部满足评审标准得3分；每有一个评审内容缺项扣1.5分，扣完为止；每有一项评审内容存在缺陷，扣（0-1.5）分。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投标人针对本项目提供完整的项目应急预案。内容包含：①设备故障及维修服务到场响应时限；②其他应急突发状况处置措施（包括但不限于安装、实施、培训、维护维修等环节的紧急处理方案）。 二、评审标准 1、完整性：方案须全面，对评审内容中的各项要求有详细描述； 2、可实施性：切合本项目实际情况，实施步骤清晰、合理； 3、针对性：方案能够紧扣本项目所采购设备种类等实际情况，内容科学合理。 三、赋分依据（满分3分） 上述2项评审内容全部满足评审标准得3分；每有一个评审内容缺项扣1.5分，扣完为止；每有一项评审内容存在缺陷，扣（0-1.5）分。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投标人针对本项目提供完整的售后服务方案。内容包含：①售后服务保障体系,包括但不限于人员配备、备品备件供应计划、设备（产品）发生故障后的补救措施等方面；②提供售后服务承诺且符合实际需求。 二、评审标准 1、完整性：方案须全面，对评审内容中的各项要求有详细描述； 2、可实施性：切合本项目实际情况，实施步骤清晰、合理； 3、针对性：方案能够紧扣项目实际情况，内容科学合理。 三、赋分依据（满分4分） 上述2项评审内容全部满足评审标准得4分；每有一个评审内容缺项扣2分，扣完为止；每有一项评审内容存在缺陷，扣（0-2）分。 说明：1、缺陷是指内容没有结合项目实际需求、虽有内容但不完善、内容表述前后不一致、套用其他项目方案或与项目需求不匹配及其他不利于项目实施的等任意一种情形。2、提供相关的佐证材料，如售后服务机构工作场所的证明材料（包括但不限于：租房协议或产权证明材料，办公场所图片，售后服务机构专职人员名单及相关行业从业资历，本行业内的技术证书及相关证明材料等资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投标人针对本项目提供完整的培训方案。内容包含：①免费为使用单位培训操作维护人员；②培训及现场服务方案。 二、评审标准 1、完整性：方案须全面，对评审内容中的各项要求有详细描述； 2、可实施性：切合本项目实际情况，实施步骤清晰、合理； 3、针对性：方案能够紧扣项目实际情况，内容科学合理。 三、赋分依据（满分3分） 上述2项评审内容全部满足评审标准得3分；每有一个评审内容缺项扣1.5分，扣完为止；每有一项评审内容存在缺陷，扣（0-1.5）分。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提供自2023年1月1日至投标文件递交截止时间前（以合同签订时间为准）所投产品的厂家销售业绩（完整合同复印件）： 1、二氧化碳激光治疗机提供5份业绩得2分，不足5份得0分； 2、眼科雾化熏蒸治疗仪提供5份业绩得2分，不足5份得0分； 3、微波治疗仪提供5份业绩得2分，不足5份得0分； 4、生物反馈治疗仪提供5份业绩得2分，不足5份得0分； 5、间歇脉冲加压抗栓系统提供5份业绩得2分，不足5份得0分。 注：投标文件中须提供完整有效的合同复印件。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详见附件：产品业绩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