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版本号：SXWZ2026ZB-XCB-03320260403001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西安市农村（社区）电影公益放映工程项目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SXWZ2026ZB-XCB-033</w:t>
      </w:r>
      <w:r>
        <w:br/>
      </w:r>
      <w:r>
        <w:br/>
      </w:r>
      <w:r>
        <w:br/>
      </w:r>
    </w:p>
    <w:p>
      <w:pPr>
        <w:pStyle w:val="null3"/>
        <w:jc w:val="center"/>
        <w:outlineLvl w:val="2"/>
      </w:pPr>
      <w:r>
        <w:rPr>
          <w:rFonts w:ascii="仿宋_GB2312" w:hAnsi="仿宋_GB2312" w:cs="仿宋_GB2312" w:eastAsia="仿宋_GB2312"/>
          <w:sz w:val="28"/>
          <w:b/>
        </w:rPr>
        <w:t>中共西安市委宣传部（本级）</w:t>
      </w:r>
    </w:p>
    <w:p>
      <w:pPr>
        <w:pStyle w:val="null3"/>
        <w:jc w:val="center"/>
        <w:outlineLvl w:val="2"/>
      </w:pPr>
      <w:r>
        <w:rPr>
          <w:rFonts w:ascii="仿宋_GB2312" w:hAnsi="仿宋_GB2312" w:cs="仿宋_GB2312" w:eastAsia="仿宋_GB2312"/>
          <w:sz w:val="28"/>
          <w:b/>
        </w:rPr>
        <w:t>陕西万泽招标有限公司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陕西万泽招标有限公司</w:t>
      </w:r>
      <w:r>
        <w:rPr>
          <w:rFonts w:ascii="仿宋_GB2312" w:hAnsi="仿宋_GB2312" w:cs="仿宋_GB2312" w:eastAsia="仿宋_GB2312"/>
        </w:rPr>
        <w:t>（以下简称“代理机构”）受</w:t>
      </w:r>
      <w:r>
        <w:rPr>
          <w:rFonts w:ascii="仿宋_GB2312" w:hAnsi="仿宋_GB2312" w:cs="仿宋_GB2312" w:eastAsia="仿宋_GB2312"/>
        </w:rPr>
        <w:t>中共西安市委宣传部（本级）</w:t>
      </w:r>
      <w:r>
        <w:rPr>
          <w:rFonts w:ascii="仿宋_GB2312" w:hAnsi="仿宋_GB2312" w:cs="仿宋_GB2312" w:eastAsia="仿宋_GB2312"/>
        </w:rPr>
        <w:t>委托，拟对</w:t>
      </w:r>
      <w:r>
        <w:rPr>
          <w:rFonts w:ascii="仿宋_GB2312" w:hAnsi="仿宋_GB2312" w:cs="仿宋_GB2312" w:eastAsia="仿宋_GB2312"/>
        </w:rPr>
        <w:t>西安市农村（社区）电影公益放映工程项目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SXWZ2026ZB-XCB-033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西安市农村（社区）电影公益放映工程项目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西安市农村（社区）电影公益放映工程项目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采购包1（西安市农村（社区）电影公益放映工程项目）：属于专门面向中小企业采购。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1、投标主体：具有独立承担民事责任能力的法人、其他组织或自然人，并出具合法有效的营业执照或事业单位法人证书等国家规定的相关证明，自然人参与的提供其身份证明。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社会保障资金缴纳证明：须提供2025年09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3、税收缴纳证明：须提供2025年09月至今已缴纳的至少一个月纳税证明或完税证明，依法免税的单位应提供相关证明材料（以税款所属期为准）。</w:t>
      </w:r>
    </w:p>
    <w:p>
      <w:pPr>
        <w:pStyle w:val="null3"/>
      </w:pPr>
      <w:r>
        <w:rPr>
          <w:rFonts w:ascii="仿宋_GB2312" w:hAnsi="仿宋_GB2312" w:cs="仿宋_GB2312" w:eastAsia="仿宋_GB2312"/>
        </w:rPr>
        <w:t>4、财务状况证明：提供经会计师事务所审计的2024年或2025年财务审计报告（审计报告应当赋码，可通过注册会计师行业统一监管平台(http://acc.mof.gov.cn)进行查验）或在开标日期前六个月内其基本开户银行出具的资信证明。</w:t>
      </w:r>
    </w:p>
    <w:p>
      <w:pPr>
        <w:pStyle w:val="null3"/>
      </w:pPr>
      <w:r>
        <w:rPr>
          <w:rFonts w:ascii="仿宋_GB2312" w:hAnsi="仿宋_GB2312" w:cs="仿宋_GB2312" w:eastAsia="仿宋_GB2312"/>
        </w:rPr>
        <w:t>5、无重大违法声明：提供在参加政府采购活动前3年内在经营活动中没有重大违法记录，未被列入中国执行信息公开网”（http://zxgk.court.gov.cn）失信被执行人，未被列入信用中国(www.creditchina.gov.cn)”重大税收违法失信主体名单，未被中国政府采购网（www.ccgp.gov.cn）列入政府采购严重违法失信行为记录名单中被财政部门禁止参加政府采购活动供应商的书面声明。</w:t>
      </w:r>
    </w:p>
    <w:p>
      <w:pPr>
        <w:pStyle w:val="null3"/>
      </w:pPr>
      <w:r>
        <w:rPr>
          <w:rFonts w:ascii="仿宋_GB2312" w:hAnsi="仿宋_GB2312" w:cs="仿宋_GB2312" w:eastAsia="仿宋_GB2312"/>
        </w:rPr>
        <w:t>6、授权书：非法定代表人参加投标的，须提供法定代表人授权委托书及被授权人身份证；法定代表人参加投标时,须提供法定代表人身份证明书。</w:t>
      </w:r>
    </w:p>
    <w:p>
      <w:pPr>
        <w:pStyle w:val="null3"/>
      </w:pPr>
      <w:r>
        <w:rPr>
          <w:rFonts w:ascii="仿宋_GB2312" w:hAnsi="仿宋_GB2312" w:cs="仿宋_GB2312" w:eastAsia="仿宋_GB2312"/>
        </w:rPr>
        <w:t>7、企业资质：提供主管部门颁发的有效期内的《电影放映经营许可证》。</w:t>
      </w:r>
    </w:p>
    <w:p>
      <w:pPr>
        <w:pStyle w:val="null3"/>
      </w:pPr>
      <w:r>
        <w:rPr>
          <w:rFonts w:ascii="仿宋_GB2312" w:hAnsi="仿宋_GB2312" w:cs="仿宋_GB2312" w:eastAsia="仿宋_GB2312"/>
        </w:rPr>
        <w:t>8、中小企业声明函：本项目专门面向中小企业采购，供应商须提供中小企业声明函。</w:t>
      </w:r>
    </w:p>
    <w:p>
      <w:pPr>
        <w:pStyle w:val="null3"/>
      </w:pPr>
      <w:r>
        <w:rPr>
          <w:rFonts w:ascii="仿宋_GB2312" w:hAnsi="仿宋_GB2312" w:cs="仿宋_GB2312" w:eastAsia="仿宋_GB2312"/>
        </w:rPr>
        <w:t>9、本项目不接受联合体投标，不允许分包、转包。：本项目不接受联合体投标，不允许分包、转包。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中共西安市委宣传部（本级）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西安市未央区凤城八路99号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029-67090702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陕西万泽招标有限公司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西安市雁塔区唐延路35号旺座现代城C座2502室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张刘艳 郝思思 张航波 薛毅凡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029-88319689-8006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采购包1：12,250,000.00元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代理服务费收费标准：参照《国家计委关于印发&lt;招标代理服务收费管理暂行办法&gt;的通知》（计价格〔2002〕1980号）规定，按照定额收取43000.00元（大写：肆万叁仟元整）。</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中共西安市委宣传部（本级）</w:t>
      </w:r>
      <w:r>
        <w:rPr>
          <w:rFonts w:ascii="仿宋_GB2312" w:hAnsi="仿宋_GB2312" w:cs="仿宋_GB2312" w:eastAsia="仿宋_GB2312"/>
        </w:rPr>
        <w:t>和</w:t>
      </w:r>
      <w:r>
        <w:rPr>
          <w:rFonts w:ascii="仿宋_GB2312" w:hAnsi="仿宋_GB2312" w:cs="仿宋_GB2312" w:eastAsia="仿宋_GB2312"/>
        </w:rPr>
        <w:t>陕西万泽招标有限公司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中共西安市委宣传部（本级）</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陕西万泽招标有限公司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中共西安市委宣传部（本级）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陕西万泽招标有限公司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依据采购文件、投标文件及服务合同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联系人：张刘艳 郝思思 张航波</w:t>
      </w:r>
    </w:p>
    <w:p>
      <w:pPr>
        <w:pStyle w:val="null3"/>
      </w:pPr>
      <w:r>
        <w:rPr>
          <w:rFonts w:ascii="仿宋_GB2312" w:hAnsi="仿宋_GB2312" w:cs="仿宋_GB2312" w:eastAsia="仿宋_GB2312"/>
        </w:rPr>
        <w:t>联系电话：029-88319689-8006</w:t>
      </w:r>
    </w:p>
    <w:p>
      <w:pPr>
        <w:pStyle w:val="null3"/>
      </w:pPr>
      <w:r>
        <w:rPr>
          <w:rFonts w:ascii="仿宋_GB2312" w:hAnsi="仿宋_GB2312" w:cs="仿宋_GB2312" w:eastAsia="仿宋_GB2312"/>
        </w:rPr>
        <w:t>地址：西安市高新区唐延路35号旺座现代城C座2502室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西安市农村（社区）电影公益放映工程</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12,250,000.00</w:t>
      </w:r>
    </w:p>
    <w:p>
      <w:pPr>
        <w:pStyle w:val="null3"/>
      </w:pPr>
      <w:r>
        <w:rPr>
          <w:rFonts w:ascii="仿宋_GB2312" w:hAnsi="仿宋_GB2312" w:cs="仿宋_GB2312" w:eastAsia="仿宋_GB2312"/>
        </w:rPr>
        <w:t>采购包最高限价（元）: 12,250,000.00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西安市农村（社区）电影公益放映工程项目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12,250,000.00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标的名称：西安市农村（社区）电影公益放映工程项目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一、项目概况</w:t>
            </w:r>
          </w:p>
          <w:p>
            <w:pPr>
              <w:pStyle w:val="null3"/>
              <w:ind w:firstLine="400"/>
              <w:jc w:val="both"/>
            </w:pPr>
            <w:r>
              <w:rPr>
                <w:rFonts w:ascii="仿宋_GB2312" w:hAnsi="仿宋_GB2312" w:cs="仿宋_GB2312" w:eastAsia="仿宋_GB2312"/>
              </w:rPr>
              <w:t>落实《电影产业促进法》《陕西省农村数字电影公益放映管理办法》《进一步加强农村数字电影公益放映管理的规定》和《西安市农村数字电影公益放映场次补贴专项资金管理办法》等文件中，关于放映资质、设备要求、片源管理、监督检查、资金管理等相关要求。按照省委宣传部、省财政厅关于全省农村公益电影放映工作要求</w:t>
            </w:r>
            <w:r>
              <w:rPr>
                <w:rFonts w:ascii="仿宋_GB2312" w:hAnsi="仿宋_GB2312" w:cs="仿宋_GB2312" w:eastAsia="仿宋_GB2312"/>
              </w:rPr>
              <w:t>，在全市</w:t>
            </w:r>
            <w:r>
              <w:rPr>
                <w:rFonts w:ascii="仿宋_GB2312" w:hAnsi="仿宋_GB2312" w:cs="仿宋_GB2312" w:eastAsia="仿宋_GB2312"/>
              </w:rPr>
              <w:t>3321个行政村（社区）公益放映电影39852场。</w:t>
            </w:r>
          </w:p>
          <w:p>
            <w:pPr>
              <w:pStyle w:val="null3"/>
              <w:jc w:val="both"/>
            </w:pPr>
            <w:r>
              <w:rPr>
                <w:rFonts w:ascii="仿宋_GB2312" w:hAnsi="仿宋_GB2312" w:cs="仿宋_GB2312" w:eastAsia="仿宋_GB2312"/>
              </w:rPr>
              <w:t>二、技术要求</w:t>
            </w:r>
          </w:p>
          <w:p>
            <w:pPr>
              <w:pStyle w:val="null3"/>
              <w:ind w:firstLine="400"/>
              <w:jc w:val="both"/>
            </w:pPr>
            <w:r>
              <w:rPr>
                <w:rFonts w:ascii="仿宋_GB2312" w:hAnsi="仿宋_GB2312" w:cs="仿宋_GB2312" w:eastAsia="仿宋_GB2312"/>
              </w:rPr>
              <w:t>1</w:t>
            </w:r>
            <w:r>
              <w:rPr>
                <w:rFonts w:ascii="仿宋_GB2312" w:hAnsi="仿宋_GB2312" w:cs="仿宋_GB2312" w:eastAsia="仿宋_GB2312"/>
              </w:rPr>
              <w:t>.拥有良好的数字电影流动放映设备（提供设备产权归属证明材料），符合国家电影局《数字电影流动放映系统技术要求》（GY/T 251-2011）。放映设备必须开机自动对接公益电影放映监控平台，并可实现分级监管功能。</w:t>
            </w:r>
          </w:p>
          <w:p>
            <w:pPr>
              <w:pStyle w:val="null3"/>
              <w:ind w:firstLine="400"/>
              <w:jc w:val="both"/>
            </w:pPr>
            <w:r>
              <w:rPr>
                <w:rFonts w:ascii="仿宋_GB2312" w:hAnsi="仿宋_GB2312" w:cs="仿宋_GB2312" w:eastAsia="仿宋_GB2312"/>
              </w:rPr>
              <w:t>2</w:t>
            </w:r>
            <w:r>
              <w:rPr>
                <w:rFonts w:ascii="仿宋_GB2312" w:hAnsi="仿宋_GB2312" w:cs="仿宋_GB2312" w:eastAsia="仿宋_GB2312"/>
              </w:rPr>
              <w:t>.必须向中宣部节目中心和中影平台购买具有公益放映版权的数字影片，不得放映其他非法渠道的片源。</w:t>
            </w:r>
          </w:p>
          <w:p>
            <w:pPr>
              <w:pStyle w:val="null3"/>
              <w:ind w:firstLine="400"/>
              <w:jc w:val="both"/>
            </w:pPr>
            <w:r>
              <w:rPr>
                <w:rFonts w:ascii="仿宋_GB2312" w:hAnsi="仿宋_GB2312" w:cs="仿宋_GB2312" w:eastAsia="仿宋_GB2312"/>
              </w:rPr>
              <w:t>3</w:t>
            </w:r>
            <w:r>
              <w:rPr>
                <w:rFonts w:ascii="仿宋_GB2312" w:hAnsi="仿宋_GB2312" w:cs="仿宋_GB2312" w:eastAsia="仿宋_GB2312"/>
              </w:rPr>
              <w:t>.能够独立完成招标方指定的公益电影放映任务场次，且满足每23个放映点配备1套符合标准的放映设备，并对应配备足够数量合格的放映人员。</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.须具备完成映前公益宣传的能力，具备健全的公益电影放映保障体系和周边设施。</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按照招标文件要求执行</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按照招标文件要求执行</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按照招标文件要求执行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自合同签订之日起至2026年12月31日止（若项目提前交付，则采购人按实际交付时间支付合同尾款）</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西安市辖区范围内（包含西咸新区）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依据采购文件、投标文件及服务合同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由采购人负责结算，在付款前，供应商必须开具相应金额发票给采购人（附详细清单），1、第一次支付：合同签订生效后</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2、第二次支付：供方完成项目总放映场次的70%</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3、第三次支付：项目全部完成，经需方最终验收合格后</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履约延误：如乙方事先未征得甲方同意并得到甲方的谅解而单方面延迟提供服务，将按违约终止合同。乙方必须严格按照服务期要求执行，超期甲方不予支付合同款，同时保留追究相关责任的权利。2、违约终止合同：未按合同要求提供服务，甲方会同监督机构有权终止合同，对乙方违约行为进行追究，同时按政府采购法的有关规定进行相应的处罚。3、争议解决：本合同履行过程中发生争议的，双方应积极协商解决，协商不成时，甲乙双方同意将争议提交甲方所在地人民法院管辖。</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1.弃标须知：根据市财函【2021】431号文第16条规定：供应商登记免费领取采购文件的，如不参与项目投标，应在递 交投标（或响应）文件截止时间前一日以书面形式告知采购代理机构。否则，采购代理机构可以向财政部门反应情况并提供佐证。供应商一年内累计出现三次该情形，将被监管部门记录为失信行为。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02供应商资格证明资料.docx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02供应商资格证明资料.docx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须提供2025年09月至今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须提供2025年09月至今已缴纳的至少一个月纳税证明或完税证明，依法免税的单位应提供相关证明材料（以税款所属期为准）。</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提供经会计师事务所审计的2024年或2025年财务审计报告（审计报告应当赋码，可通过注册会计师行业统一监管平台(http://acc.mof.gov.cn)进行查验）或在开标日期前六个月内其基本开户银行出具的资信证明。</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无重大违法声明</w:t>
            </w:r>
          </w:p>
        </w:tc>
        <w:tc>
          <w:tcPr>
            <w:tcW w:type="dxa" w:w="3322"/>
          </w:tcPr>
          <w:p>
            <w:pPr>
              <w:pStyle w:val="null3"/>
            </w:pPr>
            <w:r>
              <w:rPr>
                <w:rFonts w:ascii="仿宋_GB2312" w:hAnsi="仿宋_GB2312" w:cs="仿宋_GB2312" w:eastAsia="仿宋_GB2312"/>
              </w:rPr>
              <w:t>提供在参加政府采购活动前3年内在经营活动中没有重大违法记录，未被列入中国执行信息公开网”（http://zxgk.court.gov.cn）失信被执行人，未被列入信用中国(www.creditchina.gov.cn)”重大税收违法失信主体名单，未被中国政府采购网（www.ccgp.gov.cn）列入政府采购严重违法失信行为记录名单中被财政部门禁止参加政府采购活动供应商的书面声明。</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非法定代表人参加投标的，须提供法定代表人授权委托书及被授权人身份证；法定代表人参加投标时,须提供法定代表人身份证明书。</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提供主管部门颁发的有效期内的《电影放映经营许可证》。</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本项目不接受联合体投标，不允许分包、转包。</w:t>
            </w:r>
          </w:p>
        </w:tc>
        <w:tc>
          <w:tcPr>
            <w:tcW w:type="dxa" w:w="3322"/>
          </w:tcPr>
          <w:p>
            <w:pPr>
              <w:pStyle w:val="null3"/>
            </w:pPr>
            <w:r>
              <w:rPr>
                <w:rFonts w:ascii="仿宋_GB2312" w:hAnsi="仿宋_GB2312" w:cs="仿宋_GB2312" w:eastAsia="仿宋_GB2312"/>
              </w:rPr>
              <w:t>本项目不接受联合体投标，不允许分包、转包。</w:t>
            </w:r>
          </w:p>
        </w:tc>
        <w:tc>
          <w:tcPr>
            <w:tcW w:type="dxa" w:w="1661"/>
          </w:tcPr>
          <w:p>
            <w:pPr>
              <w:pStyle w:val="null3"/>
            </w:pPr>
            <w:r>
              <w:rPr>
                <w:rFonts w:ascii="仿宋_GB2312" w:hAnsi="仿宋_GB2312" w:cs="仿宋_GB2312" w:eastAsia="仿宋_GB2312"/>
              </w:rPr>
              <w:t>02供应商资格证明资料.docx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w:t>
            </w:r>
          </w:p>
        </w:tc>
        <w:tc>
          <w:tcPr>
            <w:tcW w:type="dxa" w:w="3322"/>
          </w:tcPr>
          <w:p>
            <w:pPr>
              <w:pStyle w:val="null3"/>
            </w:pPr>
            <w:r>
              <w:rPr>
                <w:rFonts w:ascii="仿宋_GB2312" w:hAnsi="仿宋_GB2312" w:cs="仿宋_GB2312" w:eastAsia="仿宋_GB2312"/>
              </w:rPr>
              <w:t>1、《关于印发&lt;政府采购促进中小企业发展管理办法&gt;的通知》（财库〔2020〕46号）；陕西省财政厅关于落实政府采购支持中小企业政策有关事项的通知（陕财办采函〔2022〕10号 ） 2、《关于政府采购支持监狱企业发展有关问题的通知》（财库〔2014〕68号）； 3、《关于促进残疾人就业政府采购政策的通知》（财库〔2017〕141号）。 4、《关于建立政府强制采购节能产品制度的通知》（国发办〔2007〕51号）； 5、《节能产品政府采购实施意见》（财库〔2004〕185号）； 6、《环境标志产品政府采购实施的意见》（财库〔2006〕90号）； 7、《关于调整优化节能产品、环境标志产品政府采购执行机制的通知》（财库〔2019〕9号）； 8、国务院办公厅《关于建立政府强制采购节能产品制度的通知》（国办发〔2007〕51号）； 9、《关于运用政府采购政策支持乡村产业振兴的通知》（财库〔2021〕19号）、《关于印发&lt;关于深入开展政府采购脱贫地区农副产品工作推进乡村产业振兴的实施意见&gt;的通知》（财库〔2021〕20号）； 10、《陕西省财政厅关于加快推进我省中小企业政府采购信用融资工作的通知》（陕财办采〔2020〕15号）、陕西省财政厅关于印发《陕西省中小企业政府采购信用融资办法》（陕财办采〔2018〕23号）。 11、财政部关于进一步加大政府采购支持中小企业力度的通知（财库﹝2022﹞19号）。 12、《关于在政府采购中实施本国产品标准及相关政策的通知》（国办发〔2025〕34号）。13、其他需要落实的政府采购政策；</w:t>
            </w:r>
          </w:p>
        </w:tc>
        <w:tc>
          <w:tcPr>
            <w:tcW w:type="dxa" w:w="1661"/>
          </w:tcPr>
          <w:p>
            <w:pPr>
              <w:pStyle w:val="null3"/>
            </w:pPr>
            <w:r>
              <w:rPr>
                <w:rFonts w:ascii="仿宋_GB2312" w:hAnsi="仿宋_GB2312" w:cs="仿宋_GB2312" w:eastAsia="仿宋_GB2312"/>
              </w:rPr>
              <w:t>02供应商资格证明资料.docx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招标过程中，评标委员会认为供应商的报价明显低于其他实质性响应的供应商报价（①投标（响应）报价低于全部通过符合性审查供应商投标（响应）报价平均值50%的，即投标（响应）报价&lt;全部通过符合性审查供应商投标（响应）报价平均值×50%；②投标（响应）报价低于通过符合性审查的次低报价供应商投标（响应）报价50%的，即投标（响应）报价&lt;通过符合性审查的次低报价供应商投标（响应）报价×50%；③投标（响应）报价低于采购项目最高限价45%的，即投标（响应）报价&lt;采购项目最高限价×45%；④评标委员会基于专业判断，认为供应商报价过低，有可能影响产品质量或者不能诚信履约的其他情形。 采购人可以结合具体项目实际情况，提高上述第1项至第3项中启动异常低价投标（响应）审查的数值标准，但是最高不得超过65%），，有可能影响产品质量或者不能诚信履约的，评标委员会应当要求其在30分钟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评标委员会要求的时间内通过项目电子化交易系统进行提交，否则提交的相关证明材料无效。供应商不能证明其报价合理性的，评标委员会应当将其响应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投标报价未超过预算或最高限价</w:t>
            </w:r>
          </w:p>
        </w:tc>
        <w:tc>
          <w:tcPr>
            <w:tcW w:type="dxa" w:w="1661"/>
          </w:tcPr>
          <w:p>
            <w:pPr>
              <w:pStyle w:val="null3"/>
            </w:pPr>
            <w:r>
              <w:rPr>
                <w:rFonts w:ascii="仿宋_GB2312" w:hAnsi="仿宋_GB2312" w:cs="仿宋_GB2312" w:eastAsia="仿宋_GB2312"/>
              </w:rPr>
              <w:t>开标一览表 01分项报价表.docx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开标一览表 3.商务和服务响应偏离表.docx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签字和盖章</w:t>
            </w:r>
          </w:p>
        </w:tc>
        <w:tc>
          <w:tcPr>
            <w:tcW w:type="dxa" w:w="3322"/>
          </w:tcPr>
          <w:p>
            <w:pPr>
              <w:pStyle w:val="null3"/>
            </w:pPr>
            <w:r>
              <w:rPr>
                <w:rFonts w:ascii="仿宋_GB2312" w:hAnsi="仿宋_GB2312" w:cs="仿宋_GB2312" w:eastAsia="仿宋_GB2312"/>
              </w:rPr>
              <w:t>签字和盖章均符合招标文件要求，且无遗漏</w:t>
            </w:r>
          </w:p>
        </w:tc>
        <w:tc>
          <w:tcPr>
            <w:tcW w:type="dxa" w:w="1661"/>
          </w:tcPr>
          <w:p>
            <w:pPr>
              <w:pStyle w:val="null3"/>
            </w:pPr>
            <w:r>
              <w:rPr>
                <w:rFonts w:ascii="仿宋_GB2312" w:hAnsi="仿宋_GB2312" w:cs="仿宋_GB2312" w:eastAsia="仿宋_GB2312"/>
              </w:rPr>
              <w:t>02供应商资格证明资料.docx 投标文件封面 3.商务和服务响应偏离表.docx 18.供应商承诺书.docx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符合采购文件的要求（自提交投标文件的截止之日起90个日历日）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投标文件与招标文件商务要求条款是否一致或增加了采购人难以接受的条款</w:t>
            </w:r>
          </w:p>
        </w:tc>
        <w:tc>
          <w:tcPr>
            <w:tcW w:type="dxa" w:w="1661"/>
          </w:tcPr>
          <w:p>
            <w:pPr>
              <w:pStyle w:val="null3"/>
            </w:pPr>
            <w:r>
              <w:rPr>
                <w:rFonts w:ascii="仿宋_GB2312" w:hAnsi="仿宋_GB2312" w:cs="仿宋_GB2312" w:eastAsia="仿宋_GB2312"/>
              </w:rPr>
              <w:t>3.商务和服务响应偏离表.docx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法律法规和实质性要求</w:t>
            </w:r>
          </w:p>
        </w:tc>
        <w:tc>
          <w:tcPr>
            <w:tcW w:type="dxa" w:w="3322"/>
          </w:tcPr>
          <w:p>
            <w:pPr>
              <w:pStyle w:val="null3"/>
            </w:pPr>
            <w:r>
              <w:rPr>
                <w:rFonts w:ascii="仿宋_GB2312" w:hAnsi="仿宋_GB2312" w:cs="仿宋_GB2312" w:eastAsia="仿宋_GB2312"/>
              </w:rPr>
              <w:t>符合法律法规和采购文件规定的其他实质性要求</w:t>
            </w:r>
          </w:p>
        </w:tc>
        <w:tc>
          <w:tcPr>
            <w:tcW w:type="dxa" w:w="1661"/>
          </w:tcPr>
          <w:p>
            <w:pPr>
              <w:pStyle w:val="null3"/>
            </w:pPr>
            <w:r>
              <w:rPr>
                <w:rFonts w:ascii="仿宋_GB2312" w:hAnsi="仿宋_GB2312" w:cs="仿宋_GB2312" w:eastAsia="仿宋_GB2312"/>
              </w:rPr>
              <w:t>19.供应商认为其他有必要说明的其他问题.docx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项目需求理解及分析</w:t>
            </w:r>
          </w:p>
        </w:tc>
        <w:tc>
          <w:tcPr>
            <w:tcW w:type="dxa" w:w="2492"/>
          </w:tcPr>
          <w:p>
            <w:pPr>
              <w:pStyle w:val="null3"/>
            </w:pPr>
            <w:r>
              <w:rPr>
                <w:rFonts w:ascii="仿宋_GB2312" w:hAnsi="仿宋_GB2312" w:cs="仿宋_GB2312" w:eastAsia="仿宋_GB2312"/>
              </w:rPr>
              <w:t>根据供应商针对本项目制定的需求响应方案，包括但不限于：①项目理解②需求响应及分析③项目重难点分析 完全满足采购需求并符合本项目实施特点的得9分；以上方案中每缺少一项内容扣3分；每有一处内容与实际需求不符或不满足要求或与本项目需求不切合或直接套用其他项目内容的扣1.5分，扣完为止。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4.项目需求理解及分析.docx</w:t>
            </w:r>
          </w:p>
        </w:tc>
      </w:tr>
      <w:tr>
        <w:tc>
          <w:tcPr>
            <w:tcW w:type="dxa" w:w="831"/>
            <w:vMerge/>
          </w:tcPr>
          <w:p/>
        </w:tc>
        <w:tc>
          <w:tcPr>
            <w:tcW w:type="dxa" w:w="1661"/>
          </w:tcPr>
          <w:p>
            <w:pPr>
              <w:pStyle w:val="null3"/>
            </w:pPr>
            <w:r>
              <w:rPr>
                <w:rFonts w:ascii="仿宋_GB2312" w:hAnsi="仿宋_GB2312" w:cs="仿宋_GB2312" w:eastAsia="仿宋_GB2312"/>
              </w:rPr>
              <w:t>放映设备</w:t>
            </w:r>
          </w:p>
        </w:tc>
        <w:tc>
          <w:tcPr>
            <w:tcW w:type="dxa" w:w="2492"/>
          </w:tcPr>
          <w:p>
            <w:pPr>
              <w:pStyle w:val="null3"/>
            </w:pPr>
            <w:r>
              <w:rPr>
                <w:rFonts w:ascii="仿宋_GB2312" w:hAnsi="仿宋_GB2312" w:cs="仿宋_GB2312" w:eastAsia="仿宋_GB2312"/>
              </w:rPr>
              <w:t>根据供应商针对本项目提供的放映设备（提供设备产权归属证明材料）进行综合评审，放映设备齐全、完全满足项目需求计5分，放映设备较齐全、满足项目需求计3分，放映设备不齐全、不能满足项目需求计1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5.放映设备.docx</w:t>
            </w:r>
          </w:p>
        </w:tc>
      </w:tr>
      <w:tr>
        <w:tc>
          <w:tcPr>
            <w:tcW w:type="dxa" w:w="831"/>
            <w:vMerge/>
          </w:tcPr>
          <w:p/>
        </w:tc>
        <w:tc>
          <w:tcPr>
            <w:tcW w:type="dxa" w:w="1661"/>
          </w:tcPr>
          <w:p>
            <w:pPr>
              <w:pStyle w:val="null3"/>
            </w:pPr>
            <w:r>
              <w:rPr>
                <w:rFonts w:ascii="仿宋_GB2312" w:hAnsi="仿宋_GB2312" w:cs="仿宋_GB2312" w:eastAsia="仿宋_GB2312"/>
              </w:rPr>
              <w:t>实施计划</w:t>
            </w:r>
          </w:p>
        </w:tc>
        <w:tc>
          <w:tcPr>
            <w:tcW w:type="dxa" w:w="2492"/>
          </w:tcPr>
          <w:p>
            <w:pPr>
              <w:pStyle w:val="null3"/>
            </w:pPr>
            <w:r>
              <w:rPr>
                <w:rFonts w:ascii="仿宋_GB2312" w:hAnsi="仿宋_GB2312" w:cs="仿宋_GB2312" w:eastAsia="仿宋_GB2312"/>
              </w:rPr>
              <w:t>根据供应商针对本项目提供的实施计划进行评审，项目实施计划详实可行、方法科学、合理，工作步骤清晰计5分，项目实施计划较详细、方法较科学、合理，工作步骤较清晰计3分，项目实施计划、方法不科学、合理，工作步骤不清晰计1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6.实施计划.docx</w:t>
            </w:r>
          </w:p>
        </w:tc>
      </w:tr>
      <w:tr>
        <w:tc>
          <w:tcPr>
            <w:tcW w:type="dxa" w:w="831"/>
            <w:vMerge/>
          </w:tcPr>
          <w:p/>
        </w:tc>
        <w:tc>
          <w:tcPr>
            <w:tcW w:type="dxa" w:w="1661"/>
          </w:tcPr>
          <w:p>
            <w:pPr>
              <w:pStyle w:val="null3"/>
            </w:pPr>
            <w:r>
              <w:rPr>
                <w:rFonts w:ascii="仿宋_GB2312" w:hAnsi="仿宋_GB2312" w:cs="仿宋_GB2312" w:eastAsia="仿宋_GB2312"/>
              </w:rPr>
              <w:t>放映方案</w:t>
            </w:r>
          </w:p>
        </w:tc>
        <w:tc>
          <w:tcPr>
            <w:tcW w:type="dxa" w:w="2492"/>
          </w:tcPr>
          <w:p>
            <w:pPr>
              <w:pStyle w:val="null3"/>
            </w:pPr>
            <w:r>
              <w:rPr>
                <w:rFonts w:ascii="仿宋_GB2312" w:hAnsi="仿宋_GB2312" w:cs="仿宋_GB2312" w:eastAsia="仿宋_GB2312"/>
              </w:rPr>
              <w:t>根据供应商针对本项目提供的放映方案进行综合评审，放映方案内容完整可行计5分，放映方案较详细、完整计3分，放映方案不完善计1分，未提供不计分；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7.放映方案.docx</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根据供应商针对本项目制定的保障措施进行评审（包括不限于完整可行的①实施进度保障措施、②放映周期保证措施、③放映人员保障措施、④安全保障措施等）完全满足采购需求并符合本项目实施特点的得10分；以上方案中每缺少一项内容扣2.5分；每有一处内容与实际需求不符或不满足要求或与本项目需求不切合或直接套用其他项目内容的扣1.5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8.保障措施.docx</w:t>
            </w:r>
          </w:p>
        </w:tc>
      </w:tr>
      <w:tr>
        <w:tc>
          <w:tcPr>
            <w:tcW w:type="dxa" w:w="831"/>
            <w:vMerge/>
          </w:tcPr>
          <w:p/>
        </w:tc>
        <w:tc>
          <w:tcPr>
            <w:tcW w:type="dxa" w:w="1661"/>
          </w:tcPr>
          <w:p>
            <w:pPr>
              <w:pStyle w:val="null3"/>
            </w:pPr>
            <w:r>
              <w:rPr>
                <w:rFonts w:ascii="仿宋_GB2312" w:hAnsi="仿宋_GB2312" w:cs="仿宋_GB2312" w:eastAsia="仿宋_GB2312"/>
              </w:rPr>
              <w:t>片源供应保障方案</w:t>
            </w:r>
          </w:p>
        </w:tc>
        <w:tc>
          <w:tcPr>
            <w:tcW w:type="dxa" w:w="2492"/>
          </w:tcPr>
          <w:p>
            <w:pPr>
              <w:pStyle w:val="null3"/>
            </w:pPr>
            <w:r>
              <w:rPr>
                <w:rFonts w:ascii="仿宋_GB2312" w:hAnsi="仿宋_GB2312" w:cs="仿宋_GB2312" w:eastAsia="仿宋_GB2312"/>
              </w:rPr>
              <w:t>根据供应商提供的片源供应保障方案进行综合评审，保障方案完善、合理，能保证项目顺利实施计5分，保障方案较完善、合理、可行计3分，保障方案不完善、合理，不能保证项目顺利实施计1分，未提供不计分；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9.片源供应保障方案.docx</w:t>
            </w:r>
          </w:p>
        </w:tc>
      </w:tr>
      <w:tr>
        <w:tc>
          <w:tcPr>
            <w:tcW w:type="dxa" w:w="831"/>
            <w:vMerge/>
          </w:tcPr>
          <w:p/>
        </w:tc>
        <w:tc>
          <w:tcPr>
            <w:tcW w:type="dxa" w:w="1661"/>
          </w:tcPr>
          <w:p>
            <w:pPr>
              <w:pStyle w:val="null3"/>
            </w:pPr>
            <w:r>
              <w:rPr>
                <w:rFonts w:ascii="仿宋_GB2312" w:hAnsi="仿宋_GB2312" w:cs="仿宋_GB2312" w:eastAsia="仿宋_GB2312"/>
              </w:rPr>
              <w:t>放映全过程总结报告</w:t>
            </w:r>
          </w:p>
        </w:tc>
        <w:tc>
          <w:tcPr>
            <w:tcW w:type="dxa" w:w="2492"/>
          </w:tcPr>
          <w:p>
            <w:pPr>
              <w:pStyle w:val="null3"/>
            </w:pPr>
            <w:r>
              <w:rPr>
                <w:rFonts w:ascii="仿宋_GB2312" w:hAnsi="仿宋_GB2312" w:cs="仿宋_GB2312" w:eastAsia="仿宋_GB2312"/>
              </w:rPr>
              <w:t>对放映进行全过程记录并形成总结报告，对记录方案及汇编方案进行比较，记录方案详细，汇编方案齐全计5分，记录方案较详细，汇编方案较齐全计3分，记录方案不详细，汇编方案不齐全计1分，未提供不计分；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10.放映全过程总结报告.docx</w:t>
            </w:r>
          </w:p>
        </w:tc>
      </w:tr>
      <w:tr>
        <w:tc>
          <w:tcPr>
            <w:tcW w:type="dxa" w:w="831"/>
            <w:vMerge/>
          </w:tcPr>
          <w:p/>
        </w:tc>
        <w:tc>
          <w:tcPr>
            <w:tcW w:type="dxa" w:w="1661"/>
          </w:tcPr>
          <w:p>
            <w:pPr>
              <w:pStyle w:val="null3"/>
            </w:pPr>
            <w:r>
              <w:rPr>
                <w:rFonts w:ascii="仿宋_GB2312" w:hAnsi="仿宋_GB2312" w:cs="仿宋_GB2312" w:eastAsia="仿宋_GB2312"/>
              </w:rPr>
              <w:t>设备整体运输、安装及人员调配方案</w:t>
            </w:r>
          </w:p>
        </w:tc>
        <w:tc>
          <w:tcPr>
            <w:tcW w:type="dxa" w:w="2492"/>
          </w:tcPr>
          <w:p>
            <w:pPr>
              <w:pStyle w:val="null3"/>
            </w:pPr>
            <w:r>
              <w:rPr>
                <w:rFonts w:ascii="仿宋_GB2312" w:hAnsi="仿宋_GB2312" w:cs="仿宋_GB2312" w:eastAsia="仿宋_GB2312"/>
              </w:rPr>
              <w:t>设备整体运输、安装及人员调配方案合理、可行计5分，设备整体运输、安装及人员调配方案较合理、可行计3分，设备整体运输、安装及人员调配方案不合理、可行计1分，未提供不计分；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11.设备整体运输、安装及人员调配方案.docx</w:t>
            </w:r>
          </w:p>
        </w:tc>
      </w:tr>
      <w:tr>
        <w:tc>
          <w:tcPr>
            <w:tcW w:type="dxa" w:w="831"/>
            <w:vMerge/>
          </w:tcPr>
          <w:p/>
        </w:tc>
        <w:tc>
          <w:tcPr>
            <w:tcW w:type="dxa" w:w="1661"/>
          </w:tcPr>
          <w:p>
            <w:pPr>
              <w:pStyle w:val="null3"/>
            </w:pPr>
            <w:r>
              <w:rPr>
                <w:rFonts w:ascii="仿宋_GB2312" w:hAnsi="仿宋_GB2312" w:cs="仿宋_GB2312" w:eastAsia="仿宋_GB2312"/>
              </w:rPr>
              <w:t>沟通协调方案</w:t>
            </w:r>
          </w:p>
        </w:tc>
        <w:tc>
          <w:tcPr>
            <w:tcW w:type="dxa" w:w="2492"/>
          </w:tcPr>
          <w:p>
            <w:pPr>
              <w:pStyle w:val="null3"/>
            </w:pPr>
            <w:r>
              <w:rPr>
                <w:rFonts w:ascii="仿宋_GB2312" w:hAnsi="仿宋_GB2312" w:cs="仿宋_GB2312" w:eastAsia="仿宋_GB2312"/>
              </w:rPr>
              <w:t>根据供应商提供的沟通协调方案进行评审，方案合理可行，并且指定具体项目负责人与采购人进行对接计5分，方案较合理可行，指定具体项目负责人与采购人进行对接计3分，方案不合理，未指定具体项目负责人与采购人进行对接计1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12.沟通协调方案.docx</w:t>
            </w:r>
          </w:p>
        </w:tc>
      </w:tr>
      <w:tr>
        <w:tc>
          <w:tcPr>
            <w:tcW w:type="dxa" w:w="831"/>
            <w:vMerge/>
          </w:tcPr>
          <w:p/>
        </w:tc>
        <w:tc>
          <w:tcPr>
            <w:tcW w:type="dxa" w:w="1661"/>
          </w:tcPr>
          <w:p>
            <w:pPr>
              <w:pStyle w:val="null3"/>
            </w:pPr>
            <w:r>
              <w:rPr>
                <w:rFonts w:ascii="仿宋_GB2312" w:hAnsi="仿宋_GB2312" w:cs="仿宋_GB2312" w:eastAsia="仿宋_GB2312"/>
              </w:rPr>
              <w:t>应急预备方案</w:t>
            </w:r>
          </w:p>
        </w:tc>
        <w:tc>
          <w:tcPr>
            <w:tcW w:type="dxa" w:w="2492"/>
          </w:tcPr>
          <w:p>
            <w:pPr>
              <w:pStyle w:val="null3"/>
            </w:pPr>
            <w:r>
              <w:rPr>
                <w:rFonts w:ascii="仿宋_GB2312" w:hAnsi="仿宋_GB2312" w:cs="仿宋_GB2312" w:eastAsia="仿宋_GB2312"/>
              </w:rPr>
              <w:t>根据供应商提供的应急预备方案进行综合评审，应急方案完善、当出现突发事故时能保障项目有序进行计5分，应急方案较完善计3分，应急方案不完善、当出现突发事故时不能保障项目有序进行计1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13.应急预备方案.docx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服务团队配备齐全、经验丰富，项目组织机构和管理机构能满足本项目工作需要、有能力按时完成项目。组织机构和管理机构完善、项目执行能力突出的得7分；组织机构和管理机构完善，项目执行能力较为一般得4分；有组织机构和管理机构描述，但不完善，项目执行能力较差得1分；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14.服务团队.docx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有项目工作经验，提供近三年其从业案例、工作履历、学历证书等，证明材料齐全，表述明确、充分得7分；证明材料较为齐全，表述较为明确、充分得4分；无证明材料或证明材料较少，表述一般得1分；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15.项目负责人.docx</w:t>
            </w:r>
          </w:p>
        </w:tc>
      </w:tr>
      <w:tr>
        <w:tc>
          <w:tcPr>
            <w:tcW w:type="dxa" w:w="831"/>
            <w:vMerge/>
          </w:tcPr>
          <w:p/>
        </w:tc>
        <w:tc>
          <w:tcPr>
            <w:tcW w:type="dxa" w:w="1661"/>
          </w:tcPr>
          <w:p>
            <w:pPr>
              <w:pStyle w:val="null3"/>
            </w:pPr>
            <w:r>
              <w:rPr>
                <w:rFonts w:ascii="仿宋_GB2312" w:hAnsi="仿宋_GB2312" w:cs="仿宋_GB2312" w:eastAsia="仿宋_GB2312"/>
              </w:rPr>
              <w:t>服务保障</w:t>
            </w:r>
          </w:p>
        </w:tc>
        <w:tc>
          <w:tcPr>
            <w:tcW w:type="dxa" w:w="2492"/>
          </w:tcPr>
          <w:p>
            <w:pPr>
              <w:pStyle w:val="null3"/>
            </w:pPr>
            <w:r>
              <w:rPr>
                <w:rFonts w:ascii="仿宋_GB2312" w:hAnsi="仿宋_GB2312" w:cs="仿宋_GB2312" w:eastAsia="仿宋_GB2312"/>
              </w:rPr>
              <w:t>1.服务机构健全，设有专业服务机构(需提供证明材料)，证明材料齐全，能完全满足采购需求得4分；证明材料较为齐全、充分得3分；无证明材料或证明材料较少得1分；未提供服务机构不计分。 2.提供专人负责协调、沟通、对接放映全过程事项，做到及时向采购人汇报放映情况得3分；未配备不计分。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16.服务保障.docx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提供2023年1月以来的同类业绩，每提供1份得2分，满分10分（须在投标文件中附合同的扫描件加盖单位公章，以合同签订时间为准）。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17.供应商业绩一览表.docx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价格分统一采用低价优先法计算，即满足招标文件要求且投标价格最低的投标报价为评标基准价，其价格分为满分。其他供应商的价格分统一按照下列公式计算：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详见附件：01分项报价表.docx</w:t>
      </w:r>
    </w:p>
    <w:p>
      <w:pPr>
        <w:pStyle w:val="null3"/>
        <w:ind w:firstLine="960"/>
      </w:pPr>
      <w:r>
        <w:rPr>
          <w:rFonts w:ascii="仿宋_GB2312" w:hAnsi="仿宋_GB2312" w:cs="仿宋_GB2312" w:eastAsia="仿宋_GB2312"/>
        </w:rPr>
        <w:t>详见附件：02供应商资格证明资料.docx</w:t>
      </w:r>
    </w:p>
    <w:p>
      <w:pPr>
        <w:pStyle w:val="null3"/>
        <w:ind w:firstLine="960"/>
      </w:pPr>
      <w:r>
        <w:rPr>
          <w:rFonts w:ascii="仿宋_GB2312" w:hAnsi="仿宋_GB2312" w:cs="仿宋_GB2312" w:eastAsia="仿宋_GB2312"/>
        </w:rPr>
        <w:t>详见附件：3.商务和服务响应偏离表.docx</w:t>
      </w:r>
    </w:p>
    <w:p>
      <w:pPr>
        <w:pStyle w:val="null3"/>
        <w:ind w:firstLine="960"/>
      </w:pPr>
      <w:r>
        <w:rPr>
          <w:rFonts w:ascii="仿宋_GB2312" w:hAnsi="仿宋_GB2312" w:cs="仿宋_GB2312" w:eastAsia="仿宋_GB2312"/>
        </w:rPr>
        <w:t>详见附件：4.项目需求理解及分析.docx</w:t>
      </w:r>
    </w:p>
    <w:p>
      <w:pPr>
        <w:pStyle w:val="null3"/>
        <w:ind w:firstLine="960"/>
      </w:pPr>
      <w:r>
        <w:rPr>
          <w:rFonts w:ascii="仿宋_GB2312" w:hAnsi="仿宋_GB2312" w:cs="仿宋_GB2312" w:eastAsia="仿宋_GB2312"/>
        </w:rPr>
        <w:t>详见附件：5.放映设备.docx</w:t>
      </w:r>
    </w:p>
    <w:p>
      <w:pPr>
        <w:pStyle w:val="null3"/>
        <w:ind w:firstLine="960"/>
      </w:pPr>
      <w:r>
        <w:rPr>
          <w:rFonts w:ascii="仿宋_GB2312" w:hAnsi="仿宋_GB2312" w:cs="仿宋_GB2312" w:eastAsia="仿宋_GB2312"/>
        </w:rPr>
        <w:t>详见附件：6.实施计划.docx</w:t>
      </w:r>
    </w:p>
    <w:p>
      <w:pPr>
        <w:pStyle w:val="null3"/>
        <w:ind w:firstLine="960"/>
      </w:pPr>
      <w:r>
        <w:rPr>
          <w:rFonts w:ascii="仿宋_GB2312" w:hAnsi="仿宋_GB2312" w:cs="仿宋_GB2312" w:eastAsia="仿宋_GB2312"/>
        </w:rPr>
        <w:t>详见附件：7.放映方案.docx</w:t>
      </w:r>
    </w:p>
    <w:p>
      <w:pPr>
        <w:pStyle w:val="null3"/>
        <w:ind w:firstLine="960"/>
      </w:pPr>
      <w:r>
        <w:rPr>
          <w:rFonts w:ascii="仿宋_GB2312" w:hAnsi="仿宋_GB2312" w:cs="仿宋_GB2312" w:eastAsia="仿宋_GB2312"/>
        </w:rPr>
        <w:t>详见附件：8.保障措施.docx</w:t>
      </w:r>
    </w:p>
    <w:p>
      <w:pPr>
        <w:pStyle w:val="null3"/>
        <w:ind w:firstLine="960"/>
      </w:pPr>
      <w:r>
        <w:rPr>
          <w:rFonts w:ascii="仿宋_GB2312" w:hAnsi="仿宋_GB2312" w:cs="仿宋_GB2312" w:eastAsia="仿宋_GB2312"/>
        </w:rPr>
        <w:t>详见附件：9.片源供应保障方案.docx</w:t>
      </w:r>
    </w:p>
    <w:p>
      <w:pPr>
        <w:pStyle w:val="null3"/>
        <w:ind w:firstLine="960"/>
      </w:pPr>
      <w:r>
        <w:rPr>
          <w:rFonts w:ascii="仿宋_GB2312" w:hAnsi="仿宋_GB2312" w:cs="仿宋_GB2312" w:eastAsia="仿宋_GB2312"/>
        </w:rPr>
        <w:t>详见附件：10.放映全过程总结报告.docx</w:t>
      </w:r>
    </w:p>
    <w:p>
      <w:pPr>
        <w:pStyle w:val="null3"/>
        <w:ind w:firstLine="960"/>
      </w:pPr>
      <w:r>
        <w:rPr>
          <w:rFonts w:ascii="仿宋_GB2312" w:hAnsi="仿宋_GB2312" w:cs="仿宋_GB2312" w:eastAsia="仿宋_GB2312"/>
        </w:rPr>
        <w:t>详见附件：11.设备整体运输、安装及人员调配方案.docx</w:t>
      </w:r>
    </w:p>
    <w:p>
      <w:pPr>
        <w:pStyle w:val="null3"/>
        <w:ind w:firstLine="960"/>
      </w:pPr>
      <w:r>
        <w:rPr>
          <w:rFonts w:ascii="仿宋_GB2312" w:hAnsi="仿宋_GB2312" w:cs="仿宋_GB2312" w:eastAsia="仿宋_GB2312"/>
        </w:rPr>
        <w:t>详见附件：12.沟通协调方案.docx</w:t>
      </w:r>
    </w:p>
    <w:p>
      <w:pPr>
        <w:pStyle w:val="null3"/>
        <w:ind w:firstLine="960"/>
      </w:pPr>
      <w:r>
        <w:rPr>
          <w:rFonts w:ascii="仿宋_GB2312" w:hAnsi="仿宋_GB2312" w:cs="仿宋_GB2312" w:eastAsia="仿宋_GB2312"/>
        </w:rPr>
        <w:t>详见附件：13.应急预备方案.docx</w:t>
      </w:r>
    </w:p>
    <w:p>
      <w:pPr>
        <w:pStyle w:val="null3"/>
        <w:ind w:firstLine="960"/>
      </w:pPr>
      <w:r>
        <w:rPr>
          <w:rFonts w:ascii="仿宋_GB2312" w:hAnsi="仿宋_GB2312" w:cs="仿宋_GB2312" w:eastAsia="仿宋_GB2312"/>
        </w:rPr>
        <w:t>详见附件：14.服务团队.docx</w:t>
      </w:r>
    </w:p>
    <w:p>
      <w:pPr>
        <w:pStyle w:val="null3"/>
        <w:ind w:firstLine="960"/>
      </w:pPr>
      <w:r>
        <w:rPr>
          <w:rFonts w:ascii="仿宋_GB2312" w:hAnsi="仿宋_GB2312" w:cs="仿宋_GB2312" w:eastAsia="仿宋_GB2312"/>
        </w:rPr>
        <w:t>详见附件：15.项目负责人.docx</w:t>
      </w:r>
    </w:p>
    <w:p>
      <w:pPr>
        <w:pStyle w:val="null3"/>
        <w:ind w:firstLine="960"/>
      </w:pPr>
      <w:r>
        <w:rPr>
          <w:rFonts w:ascii="仿宋_GB2312" w:hAnsi="仿宋_GB2312" w:cs="仿宋_GB2312" w:eastAsia="仿宋_GB2312"/>
        </w:rPr>
        <w:t>详见附件：16.服务保障.docx</w:t>
      </w:r>
    </w:p>
    <w:p>
      <w:pPr>
        <w:pStyle w:val="null3"/>
        <w:ind w:firstLine="960"/>
      </w:pPr>
      <w:r>
        <w:rPr>
          <w:rFonts w:ascii="仿宋_GB2312" w:hAnsi="仿宋_GB2312" w:cs="仿宋_GB2312" w:eastAsia="仿宋_GB2312"/>
        </w:rPr>
        <w:t>详见附件：17.供应商业绩一览表.docx</w:t>
      </w:r>
    </w:p>
    <w:p>
      <w:pPr>
        <w:pStyle w:val="null3"/>
        <w:ind w:firstLine="960"/>
      </w:pPr>
      <w:r>
        <w:rPr>
          <w:rFonts w:ascii="仿宋_GB2312" w:hAnsi="仿宋_GB2312" w:cs="仿宋_GB2312" w:eastAsia="仿宋_GB2312"/>
        </w:rPr>
        <w:t>详见附件：18.供应商承诺书.docx</w:t>
      </w:r>
    </w:p>
    <w:p>
      <w:pPr>
        <w:pStyle w:val="null3"/>
        <w:ind w:firstLine="960"/>
      </w:pPr>
      <w:r>
        <w:rPr>
          <w:rFonts w:ascii="仿宋_GB2312" w:hAnsi="仿宋_GB2312" w:cs="仿宋_GB2312" w:eastAsia="仿宋_GB2312"/>
        </w:rPr>
        <w:t>详见附件：19.供应商认为其他有必要说明的其他问题.docx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详见附件：采购合同模板.docx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