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版本号：JXRC-26031420260408001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肌电图诱发电位仪等一批医疗设备采购项目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JXRC-260314</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肌电图诱发电位仪等一批医疗设备采购项目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肌电图诱发电位仪等一批医疗设备采购项目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为进一步提升我院医疗服务水平，提高医疗服务质量和效率，为患者提供更优质、高效、精准的诊断治疗，结合临床科室需求，需购买肌电图诱发电位仪等设备一批。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9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和授权代表开标截止前最近连续三个月（不含开标当月）社会保险缴纳证明；</w:t>
      </w:r>
    </w:p>
    <w:p>
      <w:pPr>
        <w:pStyle w:val="null3"/>
      </w:pPr>
      <w:r>
        <w:rPr>
          <w:rFonts w:ascii="仿宋_GB2312" w:hAnsi="仿宋_GB2312" w:cs="仿宋_GB2312" w:eastAsia="仿宋_GB2312"/>
        </w:rPr>
        <w:t>6、参加本次政府采购活动前三年内，在经营活动中没有重大违法记录：供应商需提供《无重大违法记录声明》；</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tbl>
      <w:tblPr>
        <w:tblW w:w="0" w:type="auto"/>
        <w:tblBorders>
          <w:top w:val="none" w:color="000000" w:sz="4"/>
          <w:left w:val="none" w:color="000000" w:sz="4"/>
          <w:bottom w:val="none" w:color="000000" w:sz="4"/>
          <w:right w:val="none" w:color="000000" w:sz="4"/>
          <w:insideH w:val="none"/>
          <w:insideV w:val="none"/>
        </w:tblBorders>
      </w:tblPr>
      <w:tblGrid>
        <w:gridCol w:w="763"/>
        <w:gridCol w:w="2034"/>
        <w:gridCol w:w="932"/>
        <w:gridCol w:w="1695"/>
        <w:gridCol w:w="1695"/>
        <w:gridCol w:w="1187"/>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单价限价（元）</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合计限价（元）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肌电图诱发电位仪</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750000.00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750000.00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经颅磁刺激仪</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350000.00</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700000.00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1450000.00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肌电图诱发电位仪等一批医疗设备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标的名称：肌电图诱发电位仪等一批医疗设备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一、肌电图诱发电位仪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1、放大器：≥16通道，≥32个电极输入插孔，任意两个均可定义为双极记录通道，微型电极连接盒连接电缆可自由拆卸；</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2、配备专用医用隔离电源；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3、灵敏度：≤0.03mV/div，分档控制；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4、共模抑制比：≥125dB（提供检验报告）；</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5、噪声电压：≤0.3mV（提供检验报告）；</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6、A/D转换：≥24位；</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7、电源：100-240V，50/60Hz；</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8、扫描速度：1-1000mS/D，≥20级可调；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9、转换输入阻抗：≥3500MΩ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（二）刺激器参数：</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1、恒流恒压，无需通过外接第三方刺激器实现</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2、输出方式：单、交替、串、序列等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3、刺激极性：正相，负相，双相</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4、电刺激器：≥28个高电流刺激，≥4个经颅恒压刺激，≥4个低电流刺激</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5、系统电流刺激强度及误差要求：最大脉冲强度为≤100mA，误差≤±5%</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6、脉冲输出频率：0.1Hz～120Hz</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7、刺激强度：0～5mA，0.01mA/级，区间内支持自定义任意值；0～100mA，0.1mA/级，最大刺激强度1000V。</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8、配备标准声学耳机；</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9、声刺激器：最大Click声强：125—135db（SPL峰值），纯音，爆发音等；</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10、光刺激通过LED闪光器可分别刺激左眼、右眼和双眼；</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（三）软件功能:</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1、神经监测软件项目:自发肌电图及电刺激触发肌电图、体感诱发电位、运动诱发电位、听觉诱发电位、视觉诱发电位、脑电图及脑电频谱分析等。</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2、术中监护模式：具备多窗口显示、任意排列、任意调节，项目同步监测，可根据不同的手术方案自由编辑，且设有方案向导可快速完成方案，具备自定义监测项目顺序，全方位监测手术风险的功能神经。</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3、具备TOF测试功能：可直接反映肌松剂的代谢情况，能直接得到每个波形衰减程度的数值，自动存储每次测试的波形及数据。</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4、具备肌电图功能：自发肌电图、触发肌电图及电刺激诱发的肌电图监测，自动捕获肌电图动作单位电位；可根据不同的肌肉所发生的动作电位，设置不同的报警声音，提示注意相关的神经部位。</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5、具备诱发电位功能：多种显示模式，可对比前后监测的波形变化，并可设定基础波形对比。</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6、D-波模态可测试脊髓的运动传导通路。</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7、具备抗手术器械干扰功能。</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8、原厂全中文软件，报告具备模板功能，用户可自行编辑、保存，支持中文报告，能与word的文档处理软件兼容，各显示窗口可复制并粘贴至其他应用软件。</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二、经颅磁刺激仪</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（一）刺激发生器(主机)</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1、采用模块化及嵌入式交互系统，内置≥7英寸液品显示屏，可实时显示主机状态及刺激方案参数信息，支持脱离电脑端独立操作。</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2、最大刺激频率：50Hz,0Hz～50Hz可调</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3、刺激频率调节：脉冲频率在1Hz以下时调节步长为0.1Hz,超过1Hz时步长为1Hz。</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4、内置授权管理接口，采用专用USB加密狗对刺激器进行硬件授权，及实现个性化方案管理、数据同步、备份。</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5、可直接通过主机面板按键，快速选择预置治疗处方；并能直接用按键调节：刺激强度、刺激频率、刺激时间、间歇时间、治疗时间等参数。</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6、不同线圈可快速更换，同一主机可兼容液冷线圈、自然冷线圈、风冷线圈。</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7、具备数据库管理功能：包含治疗处方管理、治疗记录管理，并可调取历史刺激记录，直接启动刺激。</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8、支持个性化数据加密功能。</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9、可兼容国内外主流的EMG、EEG等设备。</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（二）TMS管理软件</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1、具备多种刺激模式至少包括：单脉冲刺激模式，重复脉冲刺激模式，爆发刺激模式，成对脉冲刺激模式等，各模式可自由调整。</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2、刺激参数可选择设置，包括刺激模式、刺激频率、刺激强度、刺激时间、串间歇时间等。</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3、开始刺激前0-10s延时可调，并同步声音提醒。</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4、脉冲可设置强度递增式释放，强度从运动阈值(MT)的0-200%可调。</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5、系统集成的方案自带人体大脑解剖定位图及详细文字描述，辅助操作人员精准定位。</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6、可自动化输出报告，也可根据需求自定义编辑报告模板。</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7、具备HIS接入功能，直接调用HIS的患者信息。</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（三）冷却系统</w:t>
            </w:r>
          </w:p>
        </w:tc>
      </w:tr>
      <w:tr>
        <w:tc>
          <w:tcPr>
            <w:tcW w:type="dxa" w:w="2769"/>
          </w:tcPr>
          <w:p>
            <w:pPr>
              <w:pStyle w:val="null3"/>
            </w:pPr>
            <w:r>
              <w:rPr>
                <w:rFonts w:ascii="仿宋_GB2312" w:hAnsi="仿宋_GB2312" w:cs="仿宋_GB2312" w:eastAsia="仿宋_GB2312"/>
              </w:rPr>
              <w:t>52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1、智能液态循环冷却技术，配备液晶屏显示温度、循环量和循环状态。</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（四）刺激线圈</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1、符合《中华人民共和国医药行业标准YY/T0994-2015》磁刺激设备最小磁感应强度应≥1T。</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2、线圈自带显示屏实时呈现温度和强度，可单手调节强度大小，快速检测运动阈值。</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3、脉冲输出自动计数功能。</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4、磁感应强度最大变化率：10～50KT/s</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5、脉冲上升时间：40～120μs</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6、双向波单边脉冲宽度：100～200μs</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7、刺激线圈表面温度≤41℃,当线圈表面温度达到41°时系统将会自动停机并过热报警。</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（五）运动诱发电位监测(MEP)模块</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1、通道数：≥2通道</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（六）推车及支臂</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1、原装配置专业台车。</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2、万向可调节线圈固定支臂，360度旋转调节，高度可调，长度≥1米。</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3、支臂可固定于推车左/右两侧。</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4、最大磁刺激强度≥6T</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spacing w:before="105" w:after="120"/>
            </w:pPr>
            <w:r>
              <w:rPr>
                <w:rFonts w:ascii="仿宋_GB2312" w:hAnsi="仿宋_GB2312" w:cs="仿宋_GB2312" w:eastAsia="仿宋_GB2312"/>
                <w:sz w:val="21"/>
                <w:b/>
              </w:rPr>
              <w:t>（七）配置：</w:t>
            </w:r>
          </w:p>
          <w:tbl>
            <w:tblPr>
              <w:tblInd w:type="dxa" w:w="270"/>
              <w:tblBorders>
                <w:top w:val="none" w:color="000000" w:sz="4"/>
                <w:left w:val="none" w:color="000000" w:sz="4"/>
                <w:bottom w:val="none" w:color="000000" w:sz="4"/>
                <w:right w:val="none" w:color="000000" w:sz="4"/>
                <w:insideH w:val="none"/>
                <w:insideV w:val="none"/>
              </w:tblBorders>
            </w:tblPr>
            <w:tblGrid>
              <w:gridCol w:w="217"/>
              <w:gridCol w:w="1989"/>
              <w:gridCol w:w="345"/>
            </w:tblGrid>
            <w:tr>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1</w:t>
                  </w:r>
                </w:p>
              </w:tc>
              <w:tc>
                <w:tcPr>
                  <w:tcW w:type="dxa" w:w="198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刺激发生器</w:t>
                  </w:r>
                </w:p>
              </w:tc>
              <w:tc>
                <w:tcPr>
                  <w:tcW w:type="dxa" w:w="34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1台</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2</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pPr>
                  <w:r>
                    <w:rPr>
                      <w:rFonts w:ascii="仿宋_GB2312" w:hAnsi="仿宋_GB2312" w:cs="仿宋_GB2312" w:eastAsia="仿宋_GB2312"/>
                      <w:sz w:val="24"/>
                      <w:color w:val="000000"/>
                    </w:rPr>
                    <w:t>液冷机箱</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1台</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3</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pPr>
                  <w:r>
                    <w:rPr>
                      <w:rFonts w:ascii="仿宋_GB2312" w:hAnsi="仿宋_GB2312" w:cs="仿宋_GB2312" w:eastAsia="仿宋_GB2312"/>
                      <w:sz w:val="24"/>
                      <w:color w:val="000000"/>
                    </w:rPr>
                    <w:t>刺激线圈</w:t>
                  </w:r>
                  <w:r>
                    <w:rPr>
                      <w:rFonts w:ascii="仿宋_GB2312" w:hAnsi="仿宋_GB2312" w:cs="仿宋_GB2312" w:eastAsia="仿宋_GB2312"/>
                      <w:sz w:val="24"/>
                      <w:color w:val="000000"/>
                    </w:rPr>
                    <w:t>（圆形线圈）</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pPr>
                  <w:r>
                    <w:rPr>
                      <w:rFonts w:ascii="仿宋_GB2312" w:hAnsi="仿宋_GB2312" w:cs="仿宋_GB2312" w:eastAsia="仿宋_GB2312"/>
                      <w:sz w:val="24"/>
                      <w:color w:val="000000"/>
                    </w:rPr>
                    <w:t>1个</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20"/>
                  </w:pPr>
                  <w:r>
                    <w:rPr>
                      <w:rFonts w:ascii="仿宋_GB2312" w:hAnsi="仿宋_GB2312" w:cs="仿宋_GB2312" w:eastAsia="仿宋_GB2312"/>
                      <w:sz w:val="24"/>
                      <w:color w:val="000000"/>
                    </w:rPr>
                    <w:t>4</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MEP模块</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1个</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5</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电脑</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1台</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6</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医用一体式推车</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1台</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7</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pPr>
                  <w:r>
                    <w:rPr>
                      <w:rFonts w:ascii="仿宋_GB2312" w:hAnsi="仿宋_GB2312" w:cs="仿宋_GB2312" w:eastAsia="仿宋_GB2312"/>
                      <w:sz w:val="24"/>
                      <w:color w:val="000000"/>
                    </w:rPr>
                    <w:t>刺激线圈支架</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pPr>
                  <w:r>
                    <w:rPr>
                      <w:rFonts w:ascii="仿宋_GB2312" w:hAnsi="仿宋_GB2312" w:cs="仿宋_GB2312" w:eastAsia="仿宋_GB2312"/>
                      <w:sz w:val="24"/>
                      <w:color w:val="000000"/>
                    </w:rPr>
                    <w:t>1个</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8</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信息管理系统软件</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1套</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05"/>
                  </w:pPr>
                  <w:r>
                    <w:rPr>
                      <w:rFonts w:ascii="仿宋_GB2312" w:hAnsi="仿宋_GB2312" w:cs="仿宋_GB2312" w:eastAsia="仿宋_GB2312"/>
                      <w:sz w:val="24"/>
                      <w:color w:val="000000"/>
                    </w:rPr>
                    <w:t>9</w:t>
                  </w:r>
                </w:p>
              </w:tc>
              <w:tc>
                <w:tcPr>
                  <w:tcW w:type="dxa" w:w="198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附件包(耳塞、定位帽)</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pPr>
                  <w:r>
                    <w:rPr>
                      <w:rFonts w:ascii="仿宋_GB2312" w:hAnsi="仿宋_GB2312" w:cs="仿宋_GB2312" w:eastAsia="仿宋_GB2312"/>
                      <w:sz w:val="24"/>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所有货物到达医院指定地点，安装、调试完毕并验收合格后，供应商出具全额发票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（1）货物到达医院指定地点后，供应商在使用单位人员在场情况下当面开箱，共同清点、检查外观。 （2）供应商应保证货物到达医院时完好无损，如有缺漏、损坏，由供应商负责调换、补齐或赔偿。 （3）供应商应提供完备的技术资料、装箱单和合格证等，并派遣专业技术人员进行现场安装调试。验收合格条件如下：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（5）供应商提供的货物未达到招标文件规定要求，且对医院造成损失的，由供应商承担一切责任，并赔偿所造成的损失。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医疗设备≥3年。 供应商应当保证所供货物的来源渠道正常，设备是全新的、未使用过的、且完全符合医院对货物质量、规格、技术指标等的要求，并在质保期内。另外，供应商应对由于设备设计、工艺或材料的缺陷而产生的质量问题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 ①软件终身免费升级 ②设备故障维修响应时间不得超过2小时，24小时内维修工程师必须到达现场，排除故障不得超过48小时，发生的全部费用由供应商承担，若需送回生产厂，供应商承担往 返费用，若供应商在接到通知后未在24小时内派人到场进行维修，医院有权自主进行维修，由此产生的费用由供应商承担并赔偿医院因此造成的损失，同时定期派技术人员到现场走访，给予检查维护。若维修超过72小时，供货方提供同型号备用产品。保修期内，每季度对设备提供一次免费保养服务。质保期届满前30日内，供应商应对所有产品进行全面检测、保养、维护。 ③所有产品须免费提供需要与医院现有各项信息化对接口的所有事宜，包括后期一系列升级工作。 （2）培训要求： 供应商应免费提供现场技术培训（至少一次），保证医院使用人员正常操作产品的各种功能，维护保养及其他必备知识。操作人员的技术培训时间不得少于一周，并提供培训计划。 （3）对本国产品给予价格评审优惠：投标人提供的均为本国产品或当采购项目或者采购包中含有多种产品，投标人为该采购项目或者采购包提供的符合本国产品标准的产品成本之和占该投标人提供的全部产品成本之和的比例达到80%以上时，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9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和授权代表开标截止前最近连续三个月（不含开标当月）社会保险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签章符合磋商文件要求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其他材料 关于符合本国产品标准的声明函 标的清单 报价表 投标人基本信息 响应函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参加政府采购活动承诺书</w:t>
            </w:r>
          </w:p>
        </w:tc>
        <w:tc>
          <w:tcPr>
            <w:tcW w:type="dxa" w:w="3322"/>
          </w:tcPr>
          <w:p>
            <w:pPr>
              <w:pStyle w:val="null3"/>
            </w:pPr>
            <w:r>
              <w:rPr>
                <w:rFonts w:ascii="仿宋_GB2312" w:hAnsi="仿宋_GB2312" w:cs="仿宋_GB2312" w:eastAsia="仿宋_GB2312"/>
              </w:rPr>
              <w:t>供应商须提供参加政府采购活动承诺书</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号技术指标（共4项，满分8分）为重点技术指标，每不满足一项扣2分；非“▲”号技术指标（满分22分），负偏离在40项以内（包含40项），每不满足一项扣0.5分，负偏离在40项以上，非“▲”号技术指标得0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 对非“▲”的技术参数供应商在投标文件中应尽可能多地提供技术支持资料予以证明其技术指标响应性（包括但不限于彩色样本或产品说明书或检验报告等），并在技术响应偏离表中标注对应页码及位置。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8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供应商针对本项目提供质量保证承诺方案。内容包含：①符合国家相关质量标准、通过国家法定检验注册，产品性能稳定；②在产品使用、技术保障方面的承诺和保证措施。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提供自2023年1月1日至投标文件递交截止时间前（以合同签订时间为准）所投核心产品的厂家销售业绩（完整合同复印件），每提供一份得1分，满分5分。 注：投标文件中须提供完整有效的合同复印件；复印件加盖供应商公章。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详见附件：产品业绩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