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版本号：HYTF-20260301220260409001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“世界的秦岭”多语种全平台对外宣传和国际传播项目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HYTF-202603012</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“世界的秦岭”多语种全平台对外宣传和国际传播项目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HYTF-202603012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“世界的秦岭”多语种全平台对外宣传和国际传播项目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“世界的秦岭”多语种全平台对外宣传和国际传播项目，1项。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采购包1（“世界的秦岭”多语种全平台对外宣传和国际传播项目）：属于专门面向中小企业采购。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9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4、社保缴纳证明：提供2025年9月至今已缴存任意一个月社会保障资金缴存单据或社保机构开具的社会保险参保缴费证明，依法不需要缴纳社会保障资金的单位应提供相应证明文件；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自行验收，具体内容详见服务合同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“世界的秦岭”多语种全平台对外宣传和国际传播项目，1项。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世界的秦岭多语种国际传播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标的名称：世界的秦岭多语种国际传播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加强秦岭生态、文化、资源的全球传播，西安市秦岭生态环境保护管理局拟于</w:t>
            </w:r>
            <w:r>
              <w:rPr>
                <w:rFonts w:ascii="仿宋_GB2312" w:hAnsi="仿宋_GB2312" w:cs="仿宋_GB2312" w:eastAsia="仿宋_GB2312"/>
                <w:sz w:val="24"/>
              </w:rPr>
              <w:t>2026年开展“世界的秦岭”多语种</w:t>
            </w:r>
            <w:r>
              <w:rPr>
                <w:rFonts w:ascii="仿宋_GB2312" w:hAnsi="仿宋_GB2312" w:cs="仿宋_GB2312" w:eastAsia="仿宋_GB2312"/>
                <w:sz w:val="24"/>
              </w:rPr>
              <w:t>国际传播</w:t>
            </w:r>
            <w:r>
              <w:rPr>
                <w:rFonts w:ascii="仿宋_GB2312" w:hAnsi="仿宋_GB2312" w:cs="仿宋_GB2312" w:eastAsia="仿宋_GB2312"/>
                <w:sz w:val="24"/>
              </w:rPr>
              <w:t>项目</w:t>
            </w:r>
            <w:r>
              <w:rPr>
                <w:rFonts w:ascii="仿宋_GB2312" w:hAnsi="仿宋_GB2312" w:cs="仿宋_GB2312" w:eastAsia="仿宋_GB2312"/>
                <w:sz w:val="24"/>
              </w:rPr>
              <w:t>，</w:t>
            </w:r>
            <w:r>
              <w:rPr>
                <w:rFonts w:ascii="仿宋_GB2312" w:hAnsi="仿宋_GB2312" w:cs="仿宋_GB2312" w:eastAsia="仿宋_GB2312"/>
                <w:sz w:val="24"/>
              </w:rPr>
              <w:t>面向海外受众开展多语种、全方位、立体化传播，系统展示秦岭丰富自然生态资源与深厚历史文化底蕴</w:t>
            </w:r>
            <w:r>
              <w:rPr>
                <w:rFonts w:ascii="仿宋_GB2312" w:hAnsi="仿宋_GB2312" w:cs="仿宋_GB2312" w:eastAsia="仿宋_GB2312"/>
                <w:sz w:val="24"/>
              </w:rPr>
              <w:t>，有效提升秦岭的对外影响力和国际美誉度，打造秦岭的世界品牌。</w:t>
            </w:r>
          </w:p>
          <w:p>
            <w:pPr>
              <w:pStyle w:val="null3"/>
            </w:pPr>
            <w:r>
              <w:rPr>
                <w:rFonts w:ascii="仿宋_GB2312" w:hAnsi="仿宋_GB2312" w:cs="仿宋_GB2312" w:eastAsia="仿宋_GB2312"/>
                <w:sz w:val="24"/>
                <w:b/>
              </w:rPr>
              <w:t>二、服务内容</w:t>
            </w:r>
          </w:p>
          <w:p>
            <w:pPr>
              <w:pStyle w:val="null3"/>
              <w:ind w:firstLine="480"/>
            </w:pPr>
            <w:r>
              <w:rPr>
                <w:rFonts w:ascii="仿宋_GB2312" w:hAnsi="仿宋_GB2312" w:cs="仿宋_GB2312" w:eastAsia="仿宋_GB2312"/>
                <w:sz w:val="24"/>
              </w:rPr>
              <w:t>围绕</w:t>
            </w:r>
            <w:r>
              <w:rPr>
                <w:rFonts w:ascii="仿宋_GB2312" w:hAnsi="仿宋_GB2312" w:cs="仿宋_GB2312" w:eastAsia="仿宋_GB2312"/>
                <w:sz w:val="24"/>
              </w:rPr>
              <w:t>西安市秦岭生态环境保护管理局</w:t>
            </w:r>
            <w:r>
              <w:rPr>
                <w:rFonts w:ascii="仿宋_GB2312" w:hAnsi="仿宋_GB2312" w:cs="仿宋_GB2312" w:eastAsia="仿宋_GB2312"/>
                <w:sz w:val="24"/>
              </w:rPr>
              <w:t>2026年宣传工作重点，依托</w:t>
            </w:r>
            <w:r>
              <w:rPr>
                <w:rFonts w:ascii="仿宋_GB2312" w:hAnsi="仿宋_GB2312" w:cs="仿宋_GB2312" w:eastAsia="仿宋_GB2312"/>
                <w:sz w:val="24"/>
              </w:rPr>
              <w:t>秦岭丰富自然生态资源与深厚历史文化底蕴</w:t>
            </w:r>
            <w:r>
              <w:rPr>
                <w:rFonts w:ascii="仿宋_GB2312" w:hAnsi="仿宋_GB2312" w:cs="仿宋_GB2312" w:eastAsia="仿宋_GB2312"/>
                <w:sz w:val="24"/>
              </w:rPr>
              <w:t>，加大对秦岭生态环境保护、生态修复和世界公园建设等方面成就的国际传播力度，将秦岭故事与全球性议题紧密捆绑，依托在中亚地区具有较强影响力的国家级通讯社、中央国家级媒体海内外社交媒体账号矩阵、多语种网站、国家级权威外宣期刊等多种渠道，以传统媒体和新媒体结合的方式综合发稿不少于</w:t>
            </w:r>
            <w:r>
              <w:rPr>
                <w:rFonts w:ascii="仿宋_GB2312" w:hAnsi="仿宋_GB2312" w:cs="仿宋_GB2312" w:eastAsia="仿宋_GB2312"/>
                <w:sz w:val="24"/>
              </w:rPr>
              <w:t>350篇，总曝光量不低于3000万次，进一步提升中华文化与生态保护理念在海外的传播力、影响力。</w:t>
            </w:r>
          </w:p>
          <w:p>
            <w:pPr>
              <w:pStyle w:val="null3"/>
            </w:pPr>
            <w:r>
              <w:rPr>
                <w:rFonts w:ascii="仿宋_GB2312" w:hAnsi="仿宋_GB2312" w:cs="仿宋_GB2312" w:eastAsia="仿宋_GB2312"/>
                <w:sz w:val="24"/>
              </w:rPr>
              <w:t>（一）具体要求</w:t>
            </w:r>
          </w:p>
          <w:p>
            <w:pPr>
              <w:pStyle w:val="null3"/>
              <w:ind w:firstLine="480"/>
            </w:pPr>
            <w:r>
              <w:rPr>
                <w:rFonts w:ascii="仿宋_GB2312" w:hAnsi="仿宋_GB2312" w:cs="仿宋_GB2312" w:eastAsia="仿宋_GB2312"/>
                <w:sz w:val="24"/>
              </w:rPr>
              <w:t>1.必须在有授权的中亚国家级通讯社发布系列专题内容，发布稿件时要确保1-2家外国国家级通讯社转载，且溯源可核验</w:t>
            </w:r>
            <w:r>
              <w:rPr>
                <w:rFonts w:ascii="仿宋_GB2312" w:hAnsi="仿宋_GB2312" w:cs="仿宋_GB2312" w:eastAsia="仿宋_GB2312"/>
                <w:sz w:val="24"/>
                <w:color w:val="0000FF"/>
              </w:rPr>
              <w:t>。</w:t>
            </w:r>
          </w:p>
          <w:p>
            <w:pPr>
              <w:pStyle w:val="null3"/>
              <w:ind w:firstLine="480"/>
            </w:pPr>
            <w:r>
              <w:rPr>
                <w:rFonts w:ascii="仿宋_GB2312" w:hAnsi="仿宋_GB2312" w:cs="仿宋_GB2312" w:eastAsia="仿宋_GB2312"/>
                <w:sz w:val="24"/>
              </w:rPr>
              <w:t>2.海外社交媒体平台必须为中央国家级外宣机构认证的官方账号，且不少于六个语种发布。</w:t>
            </w:r>
          </w:p>
          <w:p>
            <w:pPr>
              <w:pStyle w:val="null3"/>
              <w:ind w:firstLine="480"/>
            </w:pPr>
            <w:r>
              <w:rPr>
                <w:rFonts w:ascii="仿宋_GB2312" w:hAnsi="仿宋_GB2312" w:cs="仿宋_GB2312" w:eastAsia="仿宋_GB2312"/>
                <w:sz w:val="24"/>
              </w:rPr>
              <w:t>3.多语种网站发稿要求不少于六个语种发布。</w:t>
            </w:r>
          </w:p>
          <w:p>
            <w:pPr>
              <w:pStyle w:val="null3"/>
              <w:ind w:firstLine="480"/>
            </w:pPr>
            <w:r>
              <w:rPr>
                <w:rFonts w:ascii="仿宋_GB2312" w:hAnsi="仿宋_GB2312" w:cs="仿宋_GB2312" w:eastAsia="仿宋_GB2312"/>
                <w:sz w:val="24"/>
              </w:rPr>
              <w:t>4.月度及年度反馈报告：每月提交执行报告，含发布清单、转载证明、曝光数据；年度提交总结报告，分析传播成效，对接西安秦岭保护宣传重点，同步优化后续传播策略，支撑工作复盘。</w:t>
            </w:r>
          </w:p>
          <w:p>
            <w:pPr>
              <w:pStyle w:val="null3"/>
            </w:pPr>
            <w:r>
              <w:rPr>
                <w:rFonts w:ascii="仿宋_GB2312" w:hAnsi="仿宋_GB2312" w:cs="仿宋_GB2312" w:eastAsia="仿宋_GB2312"/>
                <w:sz w:val="24"/>
                <w:b/>
              </w:rPr>
              <w:t>三、商务要求</w:t>
            </w:r>
          </w:p>
          <w:p>
            <w:pPr>
              <w:pStyle w:val="null3"/>
            </w:pPr>
            <w:r>
              <w:rPr>
                <w:rFonts w:ascii="仿宋_GB2312" w:hAnsi="仿宋_GB2312" w:cs="仿宋_GB2312" w:eastAsia="仿宋_GB2312"/>
                <w:sz w:val="24"/>
              </w:rPr>
              <w:t>（一）服务期限：自合同签订之日起至</w:t>
            </w:r>
            <w:r>
              <w:rPr>
                <w:rFonts w:ascii="仿宋_GB2312" w:hAnsi="仿宋_GB2312" w:cs="仿宋_GB2312" w:eastAsia="仿宋_GB2312"/>
                <w:sz w:val="24"/>
              </w:rPr>
              <w:t>2026年12月31日之前完成。</w:t>
            </w:r>
          </w:p>
          <w:p>
            <w:pPr>
              <w:pStyle w:val="null3"/>
            </w:pPr>
            <w:r>
              <w:rPr>
                <w:rFonts w:ascii="仿宋_GB2312" w:hAnsi="仿宋_GB2312" w:cs="仿宋_GB2312" w:eastAsia="仿宋_GB2312"/>
                <w:sz w:val="24"/>
              </w:rPr>
              <w:t>（二）付款计划：服务费用分贰次支付。合同签订且供应商开具增值税发票后的</w:t>
            </w:r>
            <w:r>
              <w:rPr>
                <w:rFonts w:ascii="仿宋_GB2312" w:hAnsi="仿宋_GB2312" w:cs="仿宋_GB2312" w:eastAsia="仿宋_GB2312"/>
                <w:sz w:val="24"/>
              </w:rPr>
              <w:t>30个工作日内，以银行转账方式向其支付合同总费用70%。项目结束后，供应商出具结项报告，第三方验收完成后30个工作日内，付清30%尾款。</w:t>
            </w:r>
          </w:p>
          <w:p>
            <w:pPr>
              <w:pStyle w:val="null3"/>
            </w:pPr>
            <w:r>
              <w:rPr>
                <w:rFonts w:ascii="仿宋_GB2312" w:hAnsi="仿宋_GB2312" w:cs="仿宋_GB2312" w:eastAsia="仿宋_GB2312"/>
                <w:sz w:val="24"/>
              </w:rPr>
              <w:t>（三）验收条件：完成合同约定的各类事项。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服务期限：自合同签订之日起至2026年12月31日之前完成。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自行验收，具体内容详见服务合同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项目结束后，供应商出具结项报告，第三方验收完成后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世界的秦岭”多语种全平台对外宣传和国际传播项目”对应的中小企业划分标准所属行业为：其他未列明行业。2、以上3.3.5支付方式因系统设置原因，最终以技术参数中的付款计划为准；3、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4、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提供2025年9月至今已缴存任意一个月社会保障资金缴存单据或社保机构开具的社会保险参保缴费证明，依法不需要缴纳社会保障资金的单位应提供相应证明文件；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响应文件封面 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供应商提供针对本项目的项目分析，包括①项目理解；②实施背景、实施目的、实施意义。 二、评审标准 方案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供应商提供针对本项目的服务方案，包括①项目整体策划；②秦岭专题内容发布方案；③海外社交媒体宣传运营方案；④内容发布制度、审核流程；⑤对项目成效把控跟踪。 二、评审标准 方案内容专门针对本项目编制，切合本项目实际情况及实施要求，内容与要点相符、每个要点均有展开详细的阐述且能够适用于本项目的计25分；评审内容每缺一项扣5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宣传媒体资源</w:t>
            </w:r>
          </w:p>
        </w:tc>
        <w:tc>
          <w:tcPr>
            <w:tcW w:type="dxa" w:w="2492"/>
          </w:tcPr>
          <w:p>
            <w:pPr>
              <w:pStyle w:val="null3"/>
            </w:pPr>
            <w:r>
              <w:rPr>
                <w:rFonts w:ascii="仿宋_GB2312" w:hAnsi="仿宋_GB2312" w:cs="仿宋_GB2312" w:eastAsia="仿宋_GB2312"/>
              </w:rPr>
              <w:t>一、评审内容 供应商提供针对本项目的宣传媒体资源，包括外国国家级通讯社资源、海外社交媒体账号发布资源。 二、评审标准 宣传资源丰富，影响力大，有多个合作媒体，且有相应的证明材料计5分；宣传资源较丰富，影响力一般，有相应的证明材料计3分；宣传资源少，影响力低，无相应的证明材料计1分；未提供相关内容不计分。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供应商提供针对本项目的质量保障措施，包括①预期宣传效果质量保障措施；②后期服务保障措施。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一、评审内容 供应商提供针对本项目的进度计划方案，包括①项目服务期间的各阶段安排；②各阶段的资源投入实施计划及进度保障措施。 二、评审标准 方案内容专门针对本项目编制，切合本项目实际情况及实施要求，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供应商提供针对本项目的项目团队配置方案，包括①团队人员各专业岗位配置及人员职责；②团队人员管理制度。 二、评审标准 方案内容专门针对本项目编制，切合本项目实际情况及实施要求，与要点相符、每个要点均有展开详细的阐述且能够适用于本项目的计10分；评审内容每缺一项扣5分，扣完为止；评审内容有缺陷的每任意一项缺陷扣1分，扣完为止。（缺陷是指：内容不完整或缺少关键点；逻辑混乱、前后表述矛盾；制度不合理；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供应商提供针对本项目的应急方案，包括①应急保障方案；②未达到预期效果的补救措施。 二、评审标准 方案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供应商针对本项目的合理化建议、增值服务等内容进行阐述。 建议可行、增值服务合理、有可实施性计4分；建议基本可行、增值服务一般计2分；建议可行性差、无增值服务计1分。未提供不计分。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供应商提供针对本项目的服务承诺，包括①与采购人配合的服务承诺；②未按时按要求提交月度、年度报告的相关处罚等。 二、评审标准 服务承诺内容专门针对本项目编制，切合本项目实际情况及实施要求，内容与要点相符、每个要点均有展开详细的阐述且能够适用于本项目的计6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供应商提供自2023年1月1日至今（以合同签订时间为准）类似项目业绩，响应文件中附有其业绩证明材料，业绩以合同为依据，每提供一个计2分，满分10分。 （注：响应文件中提供复印件加盖供应商公章）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